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21" w:rsidRPr="00F50CA7" w:rsidRDefault="00A02FEF" w:rsidP="00A02FEF">
      <w:pPr>
        <w:spacing w:before="4200"/>
        <w:jc w:val="center"/>
        <w:rPr>
          <w:b/>
          <w:sz w:val="40"/>
        </w:rPr>
      </w:pPr>
      <w:r w:rsidRPr="00F50CA7">
        <w:rPr>
          <w:b/>
          <w:sz w:val="40"/>
        </w:rPr>
        <w:t xml:space="preserve">ROZPOČTOVÝ VÝHLED MĚSTA ŠLAPANICE </w:t>
      </w:r>
      <w:r w:rsidRPr="00F50CA7">
        <w:rPr>
          <w:b/>
          <w:sz w:val="40"/>
        </w:rPr>
        <w:br/>
        <w:t>NA OBDOBÍ 201</w:t>
      </w:r>
      <w:r w:rsidR="00F50CA7" w:rsidRPr="00F50CA7">
        <w:rPr>
          <w:b/>
          <w:sz w:val="40"/>
        </w:rPr>
        <w:t>7-2021</w:t>
      </w:r>
    </w:p>
    <w:p w:rsidR="00A02FEF" w:rsidRPr="00BF7D93" w:rsidRDefault="00A02FEF">
      <w:pPr>
        <w:rPr>
          <w:color w:val="FF0000"/>
          <w:sz w:val="28"/>
        </w:rPr>
      </w:pPr>
      <w:r w:rsidRPr="00BF7D93">
        <w:rPr>
          <w:color w:val="FF0000"/>
          <w:sz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FF0000"/>
          <w:sz w:val="22"/>
          <w:szCs w:val="22"/>
          <w:lang w:eastAsia="en-US"/>
        </w:rPr>
        <w:id w:val="-225848163"/>
        <w:docPartObj>
          <w:docPartGallery w:val="Table of Contents"/>
          <w:docPartUnique/>
        </w:docPartObj>
      </w:sdtPr>
      <w:sdtEndPr/>
      <w:sdtContent>
        <w:p w:rsidR="000A3CDE" w:rsidRPr="004E63A2" w:rsidRDefault="000A3CDE">
          <w:pPr>
            <w:pStyle w:val="Nadpisobsahu"/>
            <w:rPr>
              <w:color w:val="auto"/>
            </w:rPr>
          </w:pPr>
          <w:r w:rsidRPr="004E63A2">
            <w:rPr>
              <w:color w:val="auto"/>
            </w:rPr>
            <w:t>Obsah</w:t>
          </w:r>
        </w:p>
        <w:p w:rsidR="00EC045C" w:rsidRDefault="000A3CDE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 w:rsidRPr="004E63A2">
            <w:fldChar w:fldCharType="begin"/>
          </w:r>
          <w:r w:rsidRPr="004E63A2">
            <w:instrText xml:space="preserve"> TOC \o "1-3" \h \z \u </w:instrText>
          </w:r>
          <w:r w:rsidRPr="004E63A2">
            <w:fldChar w:fldCharType="separate"/>
          </w:r>
          <w:hyperlink w:anchor="_Toc465944056" w:history="1">
            <w:r w:rsidR="00EC045C" w:rsidRPr="0038792D">
              <w:rPr>
                <w:rStyle w:val="Hypertextovodkaz"/>
                <w:noProof/>
              </w:rPr>
              <w:t>ÚVOD</w:t>
            </w:r>
            <w:r w:rsidR="00EC045C">
              <w:rPr>
                <w:noProof/>
                <w:webHidden/>
              </w:rPr>
              <w:tab/>
            </w:r>
            <w:r w:rsidR="00EC045C">
              <w:rPr>
                <w:noProof/>
                <w:webHidden/>
              </w:rPr>
              <w:fldChar w:fldCharType="begin"/>
            </w:r>
            <w:r w:rsidR="00EC045C">
              <w:rPr>
                <w:noProof/>
                <w:webHidden/>
              </w:rPr>
              <w:instrText xml:space="preserve"> PAGEREF _Toc465944056 \h </w:instrText>
            </w:r>
            <w:r w:rsidR="00EC045C">
              <w:rPr>
                <w:noProof/>
                <w:webHidden/>
              </w:rPr>
            </w:r>
            <w:r w:rsidR="00EC045C">
              <w:rPr>
                <w:noProof/>
                <w:webHidden/>
              </w:rPr>
              <w:fldChar w:fldCharType="separate"/>
            </w:r>
            <w:r w:rsidR="00EC045C">
              <w:rPr>
                <w:noProof/>
                <w:webHidden/>
              </w:rPr>
              <w:t>3</w:t>
            </w:r>
            <w:r w:rsidR="00EC045C">
              <w:rPr>
                <w:noProof/>
                <w:webHidden/>
              </w:rPr>
              <w:fldChar w:fldCharType="end"/>
            </w:r>
          </w:hyperlink>
        </w:p>
        <w:p w:rsidR="00EC045C" w:rsidRDefault="00017CCD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5944057" w:history="1">
            <w:r w:rsidR="00EC045C" w:rsidRPr="0038792D">
              <w:rPr>
                <w:rStyle w:val="Hypertextovodkaz"/>
                <w:noProof/>
              </w:rPr>
              <w:t>1.</w:t>
            </w:r>
            <w:r w:rsidR="00EC045C">
              <w:rPr>
                <w:rFonts w:eastAsiaTheme="minorEastAsia"/>
                <w:noProof/>
                <w:lang w:eastAsia="cs-CZ"/>
              </w:rPr>
              <w:tab/>
            </w:r>
            <w:r w:rsidR="00EC045C" w:rsidRPr="0038792D">
              <w:rPr>
                <w:rStyle w:val="Hypertextovodkaz"/>
                <w:noProof/>
              </w:rPr>
              <w:t>PŘÍJMY</w:t>
            </w:r>
            <w:r w:rsidR="00EC045C">
              <w:rPr>
                <w:noProof/>
                <w:webHidden/>
              </w:rPr>
              <w:tab/>
            </w:r>
            <w:r w:rsidR="00EC045C">
              <w:rPr>
                <w:noProof/>
                <w:webHidden/>
              </w:rPr>
              <w:fldChar w:fldCharType="begin"/>
            </w:r>
            <w:r w:rsidR="00EC045C">
              <w:rPr>
                <w:noProof/>
                <w:webHidden/>
              </w:rPr>
              <w:instrText xml:space="preserve"> PAGEREF _Toc465944057 \h </w:instrText>
            </w:r>
            <w:r w:rsidR="00EC045C">
              <w:rPr>
                <w:noProof/>
                <w:webHidden/>
              </w:rPr>
            </w:r>
            <w:r w:rsidR="00EC045C">
              <w:rPr>
                <w:noProof/>
                <w:webHidden/>
              </w:rPr>
              <w:fldChar w:fldCharType="separate"/>
            </w:r>
            <w:r w:rsidR="00EC045C">
              <w:rPr>
                <w:noProof/>
                <w:webHidden/>
              </w:rPr>
              <w:t>4</w:t>
            </w:r>
            <w:r w:rsidR="00EC045C">
              <w:rPr>
                <w:noProof/>
                <w:webHidden/>
              </w:rPr>
              <w:fldChar w:fldCharType="end"/>
            </w:r>
          </w:hyperlink>
        </w:p>
        <w:p w:rsidR="00EC045C" w:rsidRDefault="00017CCD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5944058" w:history="1">
            <w:r w:rsidR="00EC045C" w:rsidRPr="0038792D">
              <w:rPr>
                <w:rStyle w:val="Hypertextovodkaz"/>
                <w:rFonts w:cs="Arial"/>
                <w:noProof/>
              </w:rPr>
              <w:t>1.1.</w:t>
            </w:r>
            <w:r w:rsidR="00EC045C">
              <w:rPr>
                <w:rFonts w:eastAsiaTheme="minorEastAsia"/>
                <w:noProof/>
                <w:lang w:eastAsia="cs-CZ"/>
              </w:rPr>
              <w:tab/>
            </w:r>
            <w:r w:rsidR="00EC045C" w:rsidRPr="0038792D">
              <w:rPr>
                <w:rStyle w:val="Hypertextovodkaz"/>
                <w:rFonts w:cs="Arial"/>
                <w:noProof/>
              </w:rPr>
              <w:t>Vývoj v období let 2006 – 2016</w:t>
            </w:r>
            <w:r w:rsidR="00EC045C">
              <w:rPr>
                <w:noProof/>
                <w:webHidden/>
              </w:rPr>
              <w:tab/>
            </w:r>
            <w:r w:rsidR="00EC045C">
              <w:rPr>
                <w:noProof/>
                <w:webHidden/>
              </w:rPr>
              <w:fldChar w:fldCharType="begin"/>
            </w:r>
            <w:r w:rsidR="00EC045C">
              <w:rPr>
                <w:noProof/>
                <w:webHidden/>
              </w:rPr>
              <w:instrText xml:space="preserve"> PAGEREF _Toc465944058 \h </w:instrText>
            </w:r>
            <w:r w:rsidR="00EC045C">
              <w:rPr>
                <w:noProof/>
                <w:webHidden/>
              </w:rPr>
            </w:r>
            <w:r w:rsidR="00EC045C">
              <w:rPr>
                <w:noProof/>
                <w:webHidden/>
              </w:rPr>
              <w:fldChar w:fldCharType="separate"/>
            </w:r>
            <w:r w:rsidR="00EC045C">
              <w:rPr>
                <w:noProof/>
                <w:webHidden/>
              </w:rPr>
              <w:t>4</w:t>
            </w:r>
            <w:r w:rsidR="00EC045C">
              <w:rPr>
                <w:noProof/>
                <w:webHidden/>
              </w:rPr>
              <w:fldChar w:fldCharType="end"/>
            </w:r>
          </w:hyperlink>
        </w:p>
        <w:p w:rsidR="00EC045C" w:rsidRDefault="00017CCD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5944059" w:history="1">
            <w:r w:rsidR="00EC045C" w:rsidRPr="0038792D">
              <w:rPr>
                <w:rStyle w:val="Hypertextovodkaz"/>
                <w:rFonts w:cs="Arial"/>
                <w:noProof/>
              </w:rPr>
              <w:t>1.2.</w:t>
            </w:r>
            <w:r w:rsidR="00EC045C">
              <w:rPr>
                <w:rFonts w:eastAsiaTheme="minorEastAsia"/>
                <w:noProof/>
                <w:lang w:eastAsia="cs-CZ"/>
              </w:rPr>
              <w:tab/>
            </w:r>
            <w:r w:rsidR="00EC045C" w:rsidRPr="0038792D">
              <w:rPr>
                <w:rStyle w:val="Hypertextovodkaz"/>
                <w:rFonts w:cs="Arial"/>
                <w:noProof/>
              </w:rPr>
              <w:t>Výhled na období 2017 – 2021</w:t>
            </w:r>
            <w:r w:rsidR="00EC045C">
              <w:rPr>
                <w:noProof/>
                <w:webHidden/>
              </w:rPr>
              <w:tab/>
            </w:r>
            <w:r w:rsidR="00EC045C">
              <w:rPr>
                <w:noProof/>
                <w:webHidden/>
              </w:rPr>
              <w:fldChar w:fldCharType="begin"/>
            </w:r>
            <w:r w:rsidR="00EC045C">
              <w:rPr>
                <w:noProof/>
                <w:webHidden/>
              </w:rPr>
              <w:instrText xml:space="preserve"> PAGEREF _Toc465944059 \h </w:instrText>
            </w:r>
            <w:r w:rsidR="00EC045C">
              <w:rPr>
                <w:noProof/>
                <w:webHidden/>
              </w:rPr>
            </w:r>
            <w:r w:rsidR="00EC045C">
              <w:rPr>
                <w:noProof/>
                <w:webHidden/>
              </w:rPr>
              <w:fldChar w:fldCharType="separate"/>
            </w:r>
            <w:r w:rsidR="00EC045C">
              <w:rPr>
                <w:noProof/>
                <w:webHidden/>
              </w:rPr>
              <w:t>5</w:t>
            </w:r>
            <w:r w:rsidR="00EC045C">
              <w:rPr>
                <w:noProof/>
                <w:webHidden/>
              </w:rPr>
              <w:fldChar w:fldCharType="end"/>
            </w:r>
          </w:hyperlink>
        </w:p>
        <w:p w:rsidR="00EC045C" w:rsidRDefault="00017CCD">
          <w:pPr>
            <w:pStyle w:val="Obsah3"/>
            <w:rPr>
              <w:rFonts w:eastAsiaTheme="minorEastAsia"/>
              <w:noProof/>
              <w:lang w:eastAsia="cs-CZ"/>
            </w:rPr>
          </w:pPr>
          <w:hyperlink w:anchor="_Toc465944060" w:history="1">
            <w:r w:rsidR="00EC045C" w:rsidRPr="0038792D">
              <w:rPr>
                <w:rStyle w:val="Hypertextovodkaz"/>
                <w:noProof/>
              </w:rPr>
              <w:t>1.2.1.</w:t>
            </w:r>
            <w:r w:rsidR="00EC045C">
              <w:rPr>
                <w:rFonts w:eastAsiaTheme="minorEastAsia"/>
                <w:noProof/>
                <w:lang w:eastAsia="cs-CZ"/>
              </w:rPr>
              <w:tab/>
            </w:r>
            <w:r w:rsidR="00EC045C" w:rsidRPr="0038792D">
              <w:rPr>
                <w:rStyle w:val="Hypertextovodkaz"/>
                <w:noProof/>
              </w:rPr>
              <w:t>Daňové příjmy</w:t>
            </w:r>
            <w:r w:rsidR="00EC045C">
              <w:rPr>
                <w:noProof/>
                <w:webHidden/>
              </w:rPr>
              <w:tab/>
            </w:r>
            <w:r w:rsidR="00EC045C">
              <w:rPr>
                <w:noProof/>
                <w:webHidden/>
              </w:rPr>
              <w:fldChar w:fldCharType="begin"/>
            </w:r>
            <w:r w:rsidR="00EC045C">
              <w:rPr>
                <w:noProof/>
                <w:webHidden/>
              </w:rPr>
              <w:instrText xml:space="preserve"> PAGEREF _Toc465944060 \h </w:instrText>
            </w:r>
            <w:r w:rsidR="00EC045C">
              <w:rPr>
                <w:noProof/>
                <w:webHidden/>
              </w:rPr>
            </w:r>
            <w:r w:rsidR="00EC045C">
              <w:rPr>
                <w:noProof/>
                <w:webHidden/>
              </w:rPr>
              <w:fldChar w:fldCharType="separate"/>
            </w:r>
            <w:r w:rsidR="00EC045C">
              <w:rPr>
                <w:noProof/>
                <w:webHidden/>
              </w:rPr>
              <w:t>6</w:t>
            </w:r>
            <w:r w:rsidR="00EC045C">
              <w:rPr>
                <w:noProof/>
                <w:webHidden/>
              </w:rPr>
              <w:fldChar w:fldCharType="end"/>
            </w:r>
          </w:hyperlink>
        </w:p>
        <w:p w:rsidR="00EC045C" w:rsidRDefault="00017CCD">
          <w:pPr>
            <w:pStyle w:val="Obsah3"/>
            <w:rPr>
              <w:rFonts w:eastAsiaTheme="minorEastAsia"/>
              <w:noProof/>
              <w:lang w:eastAsia="cs-CZ"/>
            </w:rPr>
          </w:pPr>
          <w:hyperlink w:anchor="_Toc465944061" w:history="1">
            <w:r w:rsidR="00EC045C" w:rsidRPr="0038792D">
              <w:rPr>
                <w:rStyle w:val="Hypertextovodkaz"/>
                <w:noProof/>
              </w:rPr>
              <w:t>1.2.2.</w:t>
            </w:r>
            <w:r w:rsidR="00EC045C">
              <w:rPr>
                <w:rFonts w:eastAsiaTheme="minorEastAsia"/>
                <w:noProof/>
                <w:lang w:eastAsia="cs-CZ"/>
              </w:rPr>
              <w:tab/>
            </w:r>
            <w:r w:rsidR="00EC045C" w:rsidRPr="0038792D">
              <w:rPr>
                <w:rStyle w:val="Hypertextovodkaz"/>
                <w:noProof/>
              </w:rPr>
              <w:t>Nedaňové příjmy</w:t>
            </w:r>
            <w:r w:rsidR="00EC045C">
              <w:rPr>
                <w:noProof/>
                <w:webHidden/>
              </w:rPr>
              <w:tab/>
            </w:r>
            <w:r w:rsidR="00EC045C">
              <w:rPr>
                <w:noProof/>
                <w:webHidden/>
              </w:rPr>
              <w:fldChar w:fldCharType="begin"/>
            </w:r>
            <w:r w:rsidR="00EC045C">
              <w:rPr>
                <w:noProof/>
                <w:webHidden/>
              </w:rPr>
              <w:instrText xml:space="preserve"> PAGEREF _Toc465944061 \h </w:instrText>
            </w:r>
            <w:r w:rsidR="00EC045C">
              <w:rPr>
                <w:noProof/>
                <w:webHidden/>
              </w:rPr>
            </w:r>
            <w:r w:rsidR="00EC045C">
              <w:rPr>
                <w:noProof/>
                <w:webHidden/>
              </w:rPr>
              <w:fldChar w:fldCharType="separate"/>
            </w:r>
            <w:r w:rsidR="00EC045C">
              <w:rPr>
                <w:noProof/>
                <w:webHidden/>
              </w:rPr>
              <w:t>6</w:t>
            </w:r>
            <w:r w:rsidR="00EC045C">
              <w:rPr>
                <w:noProof/>
                <w:webHidden/>
              </w:rPr>
              <w:fldChar w:fldCharType="end"/>
            </w:r>
          </w:hyperlink>
        </w:p>
        <w:p w:rsidR="00EC045C" w:rsidRDefault="00017CCD">
          <w:pPr>
            <w:pStyle w:val="Obsah3"/>
            <w:rPr>
              <w:rFonts w:eastAsiaTheme="minorEastAsia"/>
              <w:noProof/>
              <w:lang w:eastAsia="cs-CZ"/>
            </w:rPr>
          </w:pPr>
          <w:hyperlink w:anchor="_Toc465944062" w:history="1">
            <w:r w:rsidR="00EC045C" w:rsidRPr="0038792D">
              <w:rPr>
                <w:rStyle w:val="Hypertextovodkaz"/>
                <w:noProof/>
              </w:rPr>
              <w:t>1.2.3.</w:t>
            </w:r>
            <w:r w:rsidR="00EC045C">
              <w:rPr>
                <w:rFonts w:eastAsiaTheme="minorEastAsia"/>
                <w:noProof/>
                <w:lang w:eastAsia="cs-CZ"/>
              </w:rPr>
              <w:tab/>
            </w:r>
            <w:r w:rsidR="00EC045C" w:rsidRPr="0038792D">
              <w:rPr>
                <w:rStyle w:val="Hypertextovodkaz"/>
                <w:noProof/>
              </w:rPr>
              <w:t>Kapitálové příjmy</w:t>
            </w:r>
            <w:r w:rsidR="00EC045C">
              <w:rPr>
                <w:noProof/>
                <w:webHidden/>
              </w:rPr>
              <w:tab/>
            </w:r>
            <w:r w:rsidR="00EC045C">
              <w:rPr>
                <w:noProof/>
                <w:webHidden/>
              </w:rPr>
              <w:fldChar w:fldCharType="begin"/>
            </w:r>
            <w:r w:rsidR="00EC045C">
              <w:rPr>
                <w:noProof/>
                <w:webHidden/>
              </w:rPr>
              <w:instrText xml:space="preserve"> PAGEREF _Toc465944062 \h </w:instrText>
            </w:r>
            <w:r w:rsidR="00EC045C">
              <w:rPr>
                <w:noProof/>
                <w:webHidden/>
              </w:rPr>
            </w:r>
            <w:r w:rsidR="00EC045C">
              <w:rPr>
                <w:noProof/>
                <w:webHidden/>
              </w:rPr>
              <w:fldChar w:fldCharType="separate"/>
            </w:r>
            <w:r w:rsidR="00EC045C">
              <w:rPr>
                <w:noProof/>
                <w:webHidden/>
              </w:rPr>
              <w:t>7</w:t>
            </w:r>
            <w:r w:rsidR="00EC045C">
              <w:rPr>
                <w:noProof/>
                <w:webHidden/>
              </w:rPr>
              <w:fldChar w:fldCharType="end"/>
            </w:r>
          </w:hyperlink>
        </w:p>
        <w:p w:rsidR="00EC045C" w:rsidRDefault="00017CCD">
          <w:pPr>
            <w:pStyle w:val="Obsah3"/>
            <w:rPr>
              <w:rFonts w:eastAsiaTheme="minorEastAsia"/>
              <w:noProof/>
              <w:lang w:eastAsia="cs-CZ"/>
            </w:rPr>
          </w:pPr>
          <w:hyperlink w:anchor="_Toc465944063" w:history="1">
            <w:r w:rsidR="00EC045C" w:rsidRPr="0038792D">
              <w:rPr>
                <w:rStyle w:val="Hypertextovodkaz"/>
                <w:noProof/>
              </w:rPr>
              <w:t>1.2.4.</w:t>
            </w:r>
            <w:r w:rsidR="00EC045C">
              <w:rPr>
                <w:rFonts w:eastAsiaTheme="minorEastAsia"/>
                <w:noProof/>
                <w:lang w:eastAsia="cs-CZ"/>
              </w:rPr>
              <w:tab/>
            </w:r>
            <w:r w:rsidR="00EC045C" w:rsidRPr="0038792D">
              <w:rPr>
                <w:rStyle w:val="Hypertextovodkaz"/>
                <w:noProof/>
              </w:rPr>
              <w:t>Pravidelné neinvestiční dotace</w:t>
            </w:r>
            <w:r w:rsidR="00EC045C">
              <w:rPr>
                <w:noProof/>
                <w:webHidden/>
              </w:rPr>
              <w:tab/>
            </w:r>
            <w:r w:rsidR="00EC045C">
              <w:rPr>
                <w:noProof/>
                <w:webHidden/>
              </w:rPr>
              <w:fldChar w:fldCharType="begin"/>
            </w:r>
            <w:r w:rsidR="00EC045C">
              <w:rPr>
                <w:noProof/>
                <w:webHidden/>
              </w:rPr>
              <w:instrText xml:space="preserve"> PAGEREF _Toc465944063 \h </w:instrText>
            </w:r>
            <w:r w:rsidR="00EC045C">
              <w:rPr>
                <w:noProof/>
                <w:webHidden/>
              </w:rPr>
            </w:r>
            <w:r w:rsidR="00EC045C">
              <w:rPr>
                <w:noProof/>
                <w:webHidden/>
              </w:rPr>
              <w:fldChar w:fldCharType="separate"/>
            </w:r>
            <w:r w:rsidR="00EC045C">
              <w:rPr>
                <w:noProof/>
                <w:webHidden/>
              </w:rPr>
              <w:t>7</w:t>
            </w:r>
            <w:r w:rsidR="00EC045C">
              <w:rPr>
                <w:noProof/>
                <w:webHidden/>
              </w:rPr>
              <w:fldChar w:fldCharType="end"/>
            </w:r>
          </w:hyperlink>
        </w:p>
        <w:p w:rsidR="00EC045C" w:rsidRDefault="00017CCD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5944064" w:history="1">
            <w:r w:rsidR="00EC045C" w:rsidRPr="0038792D">
              <w:rPr>
                <w:rStyle w:val="Hypertextovodkaz"/>
                <w:noProof/>
              </w:rPr>
              <w:t>2.</w:t>
            </w:r>
            <w:r w:rsidR="00EC045C">
              <w:rPr>
                <w:rFonts w:eastAsiaTheme="minorEastAsia"/>
                <w:noProof/>
                <w:lang w:eastAsia="cs-CZ"/>
              </w:rPr>
              <w:tab/>
            </w:r>
            <w:r w:rsidR="00EC045C" w:rsidRPr="0038792D">
              <w:rPr>
                <w:rStyle w:val="Hypertextovodkaz"/>
                <w:noProof/>
              </w:rPr>
              <w:t>VÝDAJE</w:t>
            </w:r>
            <w:r w:rsidR="00EC045C">
              <w:rPr>
                <w:noProof/>
                <w:webHidden/>
              </w:rPr>
              <w:tab/>
            </w:r>
            <w:r w:rsidR="00EC045C">
              <w:rPr>
                <w:noProof/>
                <w:webHidden/>
              </w:rPr>
              <w:fldChar w:fldCharType="begin"/>
            </w:r>
            <w:r w:rsidR="00EC045C">
              <w:rPr>
                <w:noProof/>
                <w:webHidden/>
              </w:rPr>
              <w:instrText xml:space="preserve"> PAGEREF _Toc465944064 \h </w:instrText>
            </w:r>
            <w:r w:rsidR="00EC045C">
              <w:rPr>
                <w:noProof/>
                <w:webHidden/>
              </w:rPr>
            </w:r>
            <w:r w:rsidR="00EC045C">
              <w:rPr>
                <w:noProof/>
                <w:webHidden/>
              </w:rPr>
              <w:fldChar w:fldCharType="separate"/>
            </w:r>
            <w:r w:rsidR="00EC045C">
              <w:rPr>
                <w:noProof/>
                <w:webHidden/>
              </w:rPr>
              <w:t>8</w:t>
            </w:r>
            <w:r w:rsidR="00EC045C">
              <w:rPr>
                <w:noProof/>
                <w:webHidden/>
              </w:rPr>
              <w:fldChar w:fldCharType="end"/>
            </w:r>
          </w:hyperlink>
        </w:p>
        <w:p w:rsidR="00EC045C" w:rsidRDefault="00017CCD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5944065" w:history="1">
            <w:r w:rsidR="00EC045C" w:rsidRPr="0038792D">
              <w:rPr>
                <w:rStyle w:val="Hypertextovodkaz"/>
                <w:rFonts w:cs="Arial"/>
                <w:noProof/>
              </w:rPr>
              <w:t>2.1.</w:t>
            </w:r>
            <w:r w:rsidR="00EC045C">
              <w:rPr>
                <w:rFonts w:eastAsiaTheme="minorEastAsia"/>
                <w:noProof/>
                <w:lang w:eastAsia="cs-CZ"/>
              </w:rPr>
              <w:tab/>
            </w:r>
            <w:r w:rsidR="00EC045C" w:rsidRPr="0038792D">
              <w:rPr>
                <w:rStyle w:val="Hypertextovodkaz"/>
                <w:rFonts w:cs="Arial"/>
                <w:noProof/>
              </w:rPr>
              <w:t>Vývoj v období let 2006 – 2016</w:t>
            </w:r>
            <w:r w:rsidR="00EC045C">
              <w:rPr>
                <w:noProof/>
                <w:webHidden/>
              </w:rPr>
              <w:tab/>
            </w:r>
            <w:r w:rsidR="00EC045C">
              <w:rPr>
                <w:noProof/>
                <w:webHidden/>
              </w:rPr>
              <w:fldChar w:fldCharType="begin"/>
            </w:r>
            <w:r w:rsidR="00EC045C">
              <w:rPr>
                <w:noProof/>
                <w:webHidden/>
              </w:rPr>
              <w:instrText xml:space="preserve"> PAGEREF _Toc465944065 \h </w:instrText>
            </w:r>
            <w:r w:rsidR="00EC045C">
              <w:rPr>
                <w:noProof/>
                <w:webHidden/>
              </w:rPr>
            </w:r>
            <w:r w:rsidR="00EC045C">
              <w:rPr>
                <w:noProof/>
                <w:webHidden/>
              </w:rPr>
              <w:fldChar w:fldCharType="separate"/>
            </w:r>
            <w:r w:rsidR="00EC045C">
              <w:rPr>
                <w:noProof/>
                <w:webHidden/>
              </w:rPr>
              <w:t>8</w:t>
            </w:r>
            <w:r w:rsidR="00EC045C">
              <w:rPr>
                <w:noProof/>
                <w:webHidden/>
              </w:rPr>
              <w:fldChar w:fldCharType="end"/>
            </w:r>
          </w:hyperlink>
        </w:p>
        <w:p w:rsidR="00EC045C" w:rsidRDefault="00017CCD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5944066" w:history="1">
            <w:r w:rsidR="00EC045C" w:rsidRPr="0038792D">
              <w:rPr>
                <w:rStyle w:val="Hypertextovodkaz"/>
                <w:rFonts w:cs="Arial"/>
                <w:noProof/>
              </w:rPr>
              <w:t>2.2.</w:t>
            </w:r>
            <w:r w:rsidR="00EC045C">
              <w:rPr>
                <w:rFonts w:eastAsiaTheme="minorEastAsia"/>
                <w:noProof/>
                <w:lang w:eastAsia="cs-CZ"/>
              </w:rPr>
              <w:tab/>
            </w:r>
            <w:r w:rsidR="00EC045C" w:rsidRPr="0038792D">
              <w:rPr>
                <w:rStyle w:val="Hypertextovodkaz"/>
                <w:rFonts w:cs="Arial"/>
                <w:noProof/>
              </w:rPr>
              <w:t>Výhled na období 2017 – 2021</w:t>
            </w:r>
            <w:r w:rsidR="00EC045C">
              <w:rPr>
                <w:noProof/>
                <w:webHidden/>
              </w:rPr>
              <w:tab/>
            </w:r>
            <w:r w:rsidR="00EC045C">
              <w:rPr>
                <w:noProof/>
                <w:webHidden/>
              </w:rPr>
              <w:fldChar w:fldCharType="begin"/>
            </w:r>
            <w:r w:rsidR="00EC045C">
              <w:rPr>
                <w:noProof/>
                <w:webHidden/>
              </w:rPr>
              <w:instrText xml:space="preserve"> PAGEREF _Toc465944066 \h </w:instrText>
            </w:r>
            <w:r w:rsidR="00EC045C">
              <w:rPr>
                <w:noProof/>
                <w:webHidden/>
              </w:rPr>
            </w:r>
            <w:r w:rsidR="00EC045C">
              <w:rPr>
                <w:noProof/>
                <w:webHidden/>
              </w:rPr>
              <w:fldChar w:fldCharType="separate"/>
            </w:r>
            <w:r w:rsidR="00EC045C">
              <w:rPr>
                <w:noProof/>
                <w:webHidden/>
              </w:rPr>
              <w:t>8</w:t>
            </w:r>
            <w:r w:rsidR="00EC045C">
              <w:rPr>
                <w:noProof/>
                <w:webHidden/>
              </w:rPr>
              <w:fldChar w:fldCharType="end"/>
            </w:r>
          </w:hyperlink>
        </w:p>
        <w:p w:rsidR="00EC045C" w:rsidRDefault="00017CCD">
          <w:pPr>
            <w:pStyle w:val="Obsah3"/>
            <w:rPr>
              <w:rFonts w:eastAsiaTheme="minorEastAsia"/>
              <w:noProof/>
              <w:lang w:eastAsia="cs-CZ"/>
            </w:rPr>
          </w:pPr>
          <w:hyperlink w:anchor="_Toc465944067" w:history="1">
            <w:r w:rsidR="00EC045C" w:rsidRPr="0038792D">
              <w:rPr>
                <w:rStyle w:val="Hypertextovodkaz"/>
                <w:noProof/>
              </w:rPr>
              <w:t>2.2.1.</w:t>
            </w:r>
            <w:r w:rsidR="00EC045C">
              <w:rPr>
                <w:rFonts w:eastAsiaTheme="minorEastAsia"/>
                <w:noProof/>
                <w:lang w:eastAsia="cs-CZ"/>
              </w:rPr>
              <w:tab/>
            </w:r>
            <w:r w:rsidR="00EC045C" w:rsidRPr="0038792D">
              <w:rPr>
                <w:rStyle w:val="Hypertextovodkaz"/>
                <w:noProof/>
              </w:rPr>
              <w:t>Výdaje na zabezpečení činnosti MěÚ a příspěvky na provoz příspěvkovým organizacím</w:t>
            </w:r>
            <w:r w:rsidR="00EC045C">
              <w:rPr>
                <w:noProof/>
                <w:webHidden/>
              </w:rPr>
              <w:tab/>
            </w:r>
            <w:r w:rsidR="00EC045C">
              <w:rPr>
                <w:noProof/>
                <w:webHidden/>
              </w:rPr>
              <w:fldChar w:fldCharType="begin"/>
            </w:r>
            <w:r w:rsidR="00EC045C">
              <w:rPr>
                <w:noProof/>
                <w:webHidden/>
              </w:rPr>
              <w:instrText xml:space="preserve"> PAGEREF _Toc465944067 \h </w:instrText>
            </w:r>
            <w:r w:rsidR="00EC045C">
              <w:rPr>
                <w:noProof/>
                <w:webHidden/>
              </w:rPr>
            </w:r>
            <w:r w:rsidR="00EC045C">
              <w:rPr>
                <w:noProof/>
                <w:webHidden/>
              </w:rPr>
              <w:fldChar w:fldCharType="separate"/>
            </w:r>
            <w:r w:rsidR="00EC045C">
              <w:rPr>
                <w:noProof/>
                <w:webHidden/>
              </w:rPr>
              <w:t>9</w:t>
            </w:r>
            <w:r w:rsidR="00EC045C">
              <w:rPr>
                <w:noProof/>
                <w:webHidden/>
              </w:rPr>
              <w:fldChar w:fldCharType="end"/>
            </w:r>
          </w:hyperlink>
        </w:p>
        <w:p w:rsidR="00EC045C" w:rsidRDefault="00017CCD">
          <w:pPr>
            <w:pStyle w:val="Obsah3"/>
            <w:rPr>
              <w:rFonts w:eastAsiaTheme="minorEastAsia"/>
              <w:noProof/>
              <w:lang w:eastAsia="cs-CZ"/>
            </w:rPr>
          </w:pPr>
          <w:hyperlink w:anchor="_Toc465944068" w:history="1">
            <w:r w:rsidR="00EC045C" w:rsidRPr="0038792D">
              <w:rPr>
                <w:rStyle w:val="Hypertextovodkaz"/>
                <w:noProof/>
              </w:rPr>
              <w:t>2.2.2.</w:t>
            </w:r>
            <w:r w:rsidR="00EC045C">
              <w:rPr>
                <w:rFonts w:eastAsiaTheme="minorEastAsia"/>
                <w:noProof/>
                <w:lang w:eastAsia="cs-CZ"/>
              </w:rPr>
              <w:tab/>
            </w:r>
            <w:r w:rsidR="00EC045C" w:rsidRPr="0038792D">
              <w:rPr>
                <w:rStyle w:val="Hypertextovodkaz"/>
                <w:noProof/>
              </w:rPr>
              <w:t>Výdaje na splátky úvěrů</w:t>
            </w:r>
            <w:r w:rsidR="00EC045C">
              <w:rPr>
                <w:noProof/>
                <w:webHidden/>
              </w:rPr>
              <w:tab/>
            </w:r>
            <w:r w:rsidR="00EC045C">
              <w:rPr>
                <w:noProof/>
                <w:webHidden/>
              </w:rPr>
              <w:fldChar w:fldCharType="begin"/>
            </w:r>
            <w:r w:rsidR="00EC045C">
              <w:rPr>
                <w:noProof/>
                <w:webHidden/>
              </w:rPr>
              <w:instrText xml:space="preserve"> PAGEREF _Toc465944068 \h </w:instrText>
            </w:r>
            <w:r w:rsidR="00EC045C">
              <w:rPr>
                <w:noProof/>
                <w:webHidden/>
              </w:rPr>
            </w:r>
            <w:r w:rsidR="00EC045C">
              <w:rPr>
                <w:noProof/>
                <w:webHidden/>
              </w:rPr>
              <w:fldChar w:fldCharType="separate"/>
            </w:r>
            <w:r w:rsidR="00EC045C">
              <w:rPr>
                <w:noProof/>
                <w:webHidden/>
              </w:rPr>
              <w:t>10</w:t>
            </w:r>
            <w:r w:rsidR="00EC045C">
              <w:rPr>
                <w:noProof/>
                <w:webHidden/>
              </w:rPr>
              <w:fldChar w:fldCharType="end"/>
            </w:r>
          </w:hyperlink>
        </w:p>
        <w:p w:rsidR="00EC045C" w:rsidRDefault="00017CCD">
          <w:pPr>
            <w:pStyle w:val="Obsah3"/>
            <w:rPr>
              <w:rFonts w:eastAsiaTheme="minorEastAsia"/>
              <w:noProof/>
              <w:lang w:eastAsia="cs-CZ"/>
            </w:rPr>
          </w:pPr>
          <w:hyperlink w:anchor="_Toc465944069" w:history="1">
            <w:r w:rsidR="00EC045C" w:rsidRPr="0038792D">
              <w:rPr>
                <w:rStyle w:val="Hypertextovodkaz"/>
                <w:noProof/>
              </w:rPr>
              <w:t>2.2.3.</w:t>
            </w:r>
            <w:r w:rsidR="00EC045C">
              <w:rPr>
                <w:rFonts w:eastAsiaTheme="minorEastAsia"/>
                <w:noProof/>
                <w:lang w:eastAsia="cs-CZ"/>
              </w:rPr>
              <w:tab/>
            </w:r>
            <w:r w:rsidR="00EC045C" w:rsidRPr="0038792D">
              <w:rPr>
                <w:rStyle w:val="Hypertextovodkaz"/>
                <w:noProof/>
              </w:rPr>
              <w:t>Ostatní běžné výdaje</w:t>
            </w:r>
            <w:r w:rsidR="00EC045C">
              <w:rPr>
                <w:noProof/>
                <w:webHidden/>
              </w:rPr>
              <w:tab/>
            </w:r>
            <w:r w:rsidR="00EC045C">
              <w:rPr>
                <w:noProof/>
                <w:webHidden/>
              </w:rPr>
              <w:fldChar w:fldCharType="begin"/>
            </w:r>
            <w:r w:rsidR="00EC045C">
              <w:rPr>
                <w:noProof/>
                <w:webHidden/>
              </w:rPr>
              <w:instrText xml:space="preserve"> PAGEREF _Toc465944069 \h </w:instrText>
            </w:r>
            <w:r w:rsidR="00EC045C">
              <w:rPr>
                <w:noProof/>
                <w:webHidden/>
              </w:rPr>
            </w:r>
            <w:r w:rsidR="00EC045C">
              <w:rPr>
                <w:noProof/>
                <w:webHidden/>
              </w:rPr>
              <w:fldChar w:fldCharType="separate"/>
            </w:r>
            <w:r w:rsidR="00EC045C">
              <w:rPr>
                <w:noProof/>
                <w:webHidden/>
              </w:rPr>
              <w:t>10</w:t>
            </w:r>
            <w:r w:rsidR="00EC045C">
              <w:rPr>
                <w:noProof/>
                <w:webHidden/>
              </w:rPr>
              <w:fldChar w:fldCharType="end"/>
            </w:r>
          </w:hyperlink>
        </w:p>
        <w:p w:rsidR="00EC045C" w:rsidRDefault="00017CCD">
          <w:pPr>
            <w:pStyle w:val="Obsah3"/>
            <w:rPr>
              <w:rFonts w:eastAsiaTheme="minorEastAsia"/>
              <w:noProof/>
              <w:lang w:eastAsia="cs-CZ"/>
            </w:rPr>
          </w:pPr>
          <w:hyperlink w:anchor="_Toc465944070" w:history="1">
            <w:r w:rsidR="00EC045C" w:rsidRPr="0038792D">
              <w:rPr>
                <w:rStyle w:val="Hypertextovodkaz"/>
                <w:noProof/>
              </w:rPr>
              <w:t>2.2.4.</w:t>
            </w:r>
            <w:r w:rsidR="00EC045C">
              <w:rPr>
                <w:rFonts w:eastAsiaTheme="minorEastAsia"/>
                <w:noProof/>
                <w:lang w:eastAsia="cs-CZ"/>
              </w:rPr>
              <w:tab/>
            </w:r>
            <w:r w:rsidR="00EC045C" w:rsidRPr="0038792D">
              <w:rPr>
                <w:rStyle w:val="Hypertextovodkaz"/>
                <w:noProof/>
              </w:rPr>
              <w:t>Kapitálové výdaje</w:t>
            </w:r>
            <w:r w:rsidR="00EC045C">
              <w:rPr>
                <w:noProof/>
                <w:webHidden/>
              </w:rPr>
              <w:tab/>
            </w:r>
            <w:r w:rsidR="00EC045C">
              <w:rPr>
                <w:noProof/>
                <w:webHidden/>
              </w:rPr>
              <w:fldChar w:fldCharType="begin"/>
            </w:r>
            <w:r w:rsidR="00EC045C">
              <w:rPr>
                <w:noProof/>
                <w:webHidden/>
              </w:rPr>
              <w:instrText xml:space="preserve"> PAGEREF _Toc465944070 \h </w:instrText>
            </w:r>
            <w:r w:rsidR="00EC045C">
              <w:rPr>
                <w:noProof/>
                <w:webHidden/>
              </w:rPr>
            </w:r>
            <w:r w:rsidR="00EC045C">
              <w:rPr>
                <w:noProof/>
                <w:webHidden/>
              </w:rPr>
              <w:fldChar w:fldCharType="separate"/>
            </w:r>
            <w:r w:rsidR="00EC045C">
              <w:rPr>
                <w:noProof/>
                <w:webHidden/>
              </w:rPr>
              <w:t>11</w:t>
            </w:r>
            <w:r w:rsidR="00EC045C">
              <w:rPr>
                <w:noProof/>
                <w:webHidden/>
              </w:rPr>
              <w:fldChar w:fldCharType="end"/>
            </w:r>
          </w:hyperlink>
        </w:p>
        <w:p w:rsidR="00EC045C" w:rsidRDefault="00017CCD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5944071" w:history="1">
            <w:r w:rsidR="00EC045C" w:rsidRPr="0038792D">
              <w:rPr>
                <w:rStyle w:val="Hypertextovodkaz"/>
                <w:noProof/>
              </w:rPr>
              <w:t>3.</w:t>
            </w:r>
            <w:r w:rsidR="00EC045C">
              <w:rPr>
                <w:rFonts w:eastAsiaTheme="minorEastAsia"/>
                <w:noProof/>
                <w:lang w:eastAsia="cs-CZ"/>
              </w:rPr>
              <w:tab/>
            </w:r>
            <w:r w:rsidR="00EC045C" w:rsidRPr="0038792D">
              <w:rPr>
                <w:rStyle w:val="Hypertextovodkaz"/>
                <w:noProof/>
              </w:rPr>
              <w:t>DLOUHODOBÉ ZÁVAZKY</w:t>
            </w:r>
            <w:r w:rsidR="00EC045C">
              <w:rPr>
                <w:noProof/>
                <w:webHidden/>
              </w:rPr>
              <w:tab/>
            </w:r>
            <w:r w:rsidR="00EC045C">
              <w:rPr>
                <w:noProof/>
                <w:webHidden/>
              </w:rPr>
              <w:fldChar w:fldCharType="begin"/>
            </w:r>
            <w:r w:rsidR="00EC045C">
              <w:rPr>
                <w:noProof/>
                <w:webHidden/>
              </w:rPr>
              <w:instrText xml:space="preserve"> PAGEREF _Toc465944071 \h </w:instrText>
            </w:r>
            <w:r w:rsidR="00EC045C">
              <w:rPr>
                <w:noProof/>
                <w:webHidden/>
              </w:rPr>
            </w:r>
            <w:r w:rsidR="00EC045C">
              <w:rPr>
                <w:noProof/>
                <w:webHidden/>
              </w:rPr>
              <w:fldChar w:fldCharType="separate"/>
            </w:r>
            <w:r w:rsidR="00EC045C">
              <w:rPr>
                <w:noProof/>
                <w:webHidden/>
              </w:rPr>
              <w:t>11</w:t>
            </w:r>
            <w:r w:rsidR="00EC045C">
              <w:rPr>
                <w:noProof/>
                <w:webHidden/>
              </w:rPr>
              <w:fldChar w:fldCharType="end"/>
            </w:r>
          </w:hyperlink>
        </w:p>
        <w:p w:rsidR="00EC045C" w:rsidRDefault="00017CCD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5944072" w:history="1">
            <w:r w:rsidR="00EC045C" w:rsidRPr="0038792D">
              <w:rPr>
                <w:rStyle w:val="Hypertextovodkaz"/>
                <w:noProof/>
              </w:rPr>
              <w:t>4.</w:t>
            </w:r>
            <w:r w:rsidR="00EC045C">
              <w:rPr>
                <w:rFonts w:eastAsiaTheme="minorEastAsia"/>
                <w:noProof/>
                <w:lang w:eastAsia="cs-CZ"/>
              </w:rPr>
              <w:tab/>
            </w:r>
            <w:r w:rsidR="00EC045C" w:rsidRPr="0038792D">
              <w:rPr>
                <w:rStyle w:val="Hypertextovodkaz"/>
                <w:noProof/>
              </w:rPr>
              <w:t>DLUHOVÁ SLUŽBA</w:t>
            </w:r>
            <w:r w:rsidR="00EC045C">
              <w:rPr>
                <w:noProof/>
                <w:webHidden/>
              </w:rPr>
              <w:tab/>
            </w:r>
            <w:r w:rsidR="00EC045C">
              <w:rPr>
                <w:noProof/>
                <w:webHidden/>
              </w:rPr>
              <w:fldChar w:fldCharType="begin"/>
            </w:r>
            <w:r w:rsidR="00EC045C">
              <w:rPr>
                <w:noProof/>
                <w:webHidden/>
              </w:rPr>
              <w:instrText xml:space="preserve"> PAGEREF _Toc465944072 \h </w:instrText>
            </w:r>
            <w:r w:rsidR="00EC045C">
              <w:rPr>
                <w:noProof/>
                <w:webHidden/>
              </w:rPr>
            </w:r>
            <w:r w:rsidR="00EC045C">
              <w:rPr>
                <w:noProof/>
                <w:webHidden/>
              </w:rPr>
              <w:fldChar w:fldCharType="separate"/>
            </w:r>
            <w:r w:rsidR="00EC045C">
              <w:rPr>
                <w:noProof/>
                <w:webHidden/>
              </w:rPr>
              <w:t>12</w:t>
            </w:r>
            <w:r w:rsidR="00EC045C">
              <w:rPr>
                <w:noProof/>
                <w:webHidden/>
              </w:rPr>
              <w:fldChar w:fldCharType="end"/>
            </w:r>
          </w:hyperlink>
        </w:p>
        <w:p w:rsidR="00EC045C" w:rsidRDefault="00017CCD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5944073" w:history="1">
            <w:r w:rsidR="00EC045C" w:rsidRPr="0038792D">
              <w:rPr>
                <w:rStyle w:val="Hypertextovodkaz"/>
                <w:noProof/>
              </w:rPr>
              <w:t>5.</w:t>
            </w:r>
            <w:r w:rsidR="00EC045C">
              <w:rPr>
                <w:rFonts w:eastAsiaTheme="minorEastAsia"/>
                <w:noProof/>
                <w:lang w:eastAsia="cs-CZ"/>
              </w:rPr>
              <w:tab/>
            </w:r>
            <w:r w:rsidR="00EC045C" w:rsidRPr="0038792D">
              <w:rPr>
                <w:rStyle w:val="Hypertextovodkaz"/>
                <w:noProof/>
              </w:rPr>
              <w:t>ROZPOČTOVÝ VÝHLED 2017 – 2021 V DATECH</w:t>
            </w:r>
            <w:r w:rsidR="00EC045C">
              <w:rPr>
                <w:noProof/>
                <w:webHidden/>
              </w:rPr>
              <w:tab/>
            </w:r>
            <w:r w:rsidR="00EC045C">
              <w:rPr>
                <w:noProof/>
                <w:webHidden/>
              </w:rPr>
              <w:fldChar w:fldCharType="begin"/>
            </w:r>
            <w:r w:rsidR="00EC045C">
              <w:rPr>
                <w:noProof/>
                <w:webHidden/>
              </w:rPr>
              <w:instrText xml:space="preserve"> PAGEREF _Toc465944073 \h </w:instrText>
            </w:r>
            <w:r w:rsidR="00EC045C">
              <w:rPr>
                <w:noProof/>
                <w:webHidden/>
              </w:rPr>
            </w:r>
            <w:r w:rsidR="00EC045C">
              <w:rPr>
                <w:noProof/>
                <w:webHidden/>
              </w:rPr>
              <w:fldChar w:fldCharType="separate"/>
            </w:r>
            <w:r w:rsidR="00EC045C">
              <w:rPr>
                <w:noProof/>
                <w:webHidden/>
              </w:rPr>
              <w:t>13</w:t>
            </w:r>
            <w:r w:rsidR="00EC045C">
              <w:rPr>
                <w:noProof/>
                <w:webHidden/>
              </w:rPr>
              <w:fldChar w:fldCharType="end"/>
            </w:r>
          </w:hyperlink>
        </w:p>
        <w:p w:rsidR="000A3CDE" w:rsidRPr="00BF7D93" w:rsidRDefault="000A3CDE">
          <w:pPr>
            <w:rPr>
              <w:color w:val="FF0000"/>
            </w:rPr>
          </w:pPr>
          <w:r w:rsidRPr="004E63A2">
            <w:rPr>
              <w:b/>
              <w:bCs/>
            </w:rPr>
            <w:fldChar w:fldCharType="end"/>
          </w:r>
        </w:p>
      </w:sdtContent>
    </w:sdt>
    <w:p w:rsidR="00EC045C" w:rsidRDefault="00A57204">
      <w:pPr>
        <w:rPr>
          <w:noProof/>
        </w:rPr>
      </w:pPr>
      <w:r w:rsidRPr="00BF7D93">
        <w:rPr>
          <w:color w:val="FF0000"/>
          <w:sz w:val="28"/>
        </w:rPr>
        <w:br w:type="page"/>
      </w:r>
      <w:r w:rsidR="0099738D" w:rsidRPr="00BF7D93">
        <w:rPr>
          <w:color w:val="FF0000"/>
          <w:sz w:val="28"/>
        </w:rPr>
        <w:fldChar w:fldCharType="begin"/>
      </w:r>
      <w:r w:rsidR="0099738D" w:rsidRPr="00BF7D93">
        <w:rPr>
          <w:color w:val="FF0000"/>
          <w:sz w:val="28"/>
        </w:rPr>
        <w:instrText xml:space="preserve"> TOC \f F \h \z \t "Podtitul" \c </w:instrText>
      </w:r>
      <w:r w:rsidR="0099738D" w:rsidRPr="00BF7D93">
        <w:rPr>
          <w:color w:val="FF0000"/>
          <w:sz w:val="28"/>
        </w:rPr>
        <w:fldChar w:fldCharType="separate"/>
      </w:r>
    </w:p>
    <w:p w:rsidR="00EC045C" w:rsidRPr="00EC045C" w:rsidRDefault="00EC045C">
      <w:pPr>
        <w:pStyle w:val="Seznamobrzk"/>
        <w:tabs>
          <w:tab w:val="right" w:leader="dot" w:pos="9062"/>
        </w:tabs>
        <w:rPr>
          <w:rFonts w:ascii="Arial" w:hAnsi="Arial" w:cs="Arial"/>
          <w:sz w:val="24"/>
        </w:rPr>
      </w:pPr>
      <w:r w:rsidRPr="00EC045C">
        <w:rPr>
          <w:rFonts w:ascii="Arial" w:hAnsi="Arial" w:cs="Arial"/>
          <w:sz w:val="24"/>
        </w:rPr>
        <w:lastRenderedPageBreak/>
        <w:t>Seznam grafů a tabulek:</w:t>
      </w:r>
    </w:p>
    <w:p w:rsidR="00EC045C" w:rsidRDefault="00EC045C">
      <w:pPr>
        <w:pStyle w:val="Seznamobrzk"/>
        <w:tabs>
          <w:tab w:val="right" w:leader="dot" w:pos="9062"/>
        </w:tabs>
        <w:rPr>
          <w:rStyle w:val="Hypertextovodkaz"/>
          <w:noProof/>
        </w:rPr>
      </w:pPr>
    </w:p>
    <w:p w:rsidR="00EC045C" w:rsidRDefault="00017CCD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65944074" w:history="1">
        <w:r w:rsidR="00EC045C" w:rsidRPr="00E531D6">
          <w:rPr>
            <w:rStyle w:val="Hypertextovodkaz"/>
            <w:noProof/>
          </w:rPr>
          <w:t>Graf č. 1: Příjmy města Šlapanice v letech 2006 - 2016</w:t>
        </w:r>
        <w:r w:rsidR="00EC045C">
          <w:rPr>
            <w:noProof/>
            <w:webHidden/>
          </w:rPr>
          <w:tab/>
        </w:r>
        <w:r w:rsidR="00EC045C">
          <w:rPr>
            <w:noProof/>
            <w:webHidden/>
          </w:rPr>
          <w:fldChar w:fldCharType="begin"/>
        </w:r>
        <w:r w:rsidR="00EC045C">
          <w:rPr>
            <w:noProof/>
            <w:webHidden/>
          </w:rPr>
          <w:instrText xml:space="preserve"> PAGEREF _Toc465944074 \h </w:instrText>
        </w:r>
        <w:r w:rsidR="00EC045C">
          <w:rPr>
            <w:noProof/>
            <w:webHidden/>
          </w:rPr>
        </w:r>
        <w:r w:rsidR="00EC045C">
          <w:rPr>
            <w:noProof/>
            <w:webHidden/>
          </w:rPr>
          <w:fldChar w:fldCharType="separate"/>
        </w:r>
        <w:r w:rsidR="00EC045C">
          <w:rPr>
            <w:noProof/>
            <w:webHidden/>
          </w:rPr>
          <w:t>4</w:t>
        </w:r>
        <w:r w:rsidR="00EC045C">
          <w:rPr>
            <w:noProof/>
            <w:webHidden/>
          </w:rPr>
          <w:fldChar w:fldCharType="end"/>
        </w:r>
      </w:hyperlink>
    </w:p>
    <w:p w:rsidR="00EC045C" w:rsidRDefault="00017CCD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65944075" w:history="1">
        <w:r w:rsidR="00EC045C" w:rsidRPr="00E531D6">
          <w:rPr>
            <w:rStyle w:val="Hypertextovodkaz"/>
            <w:noProof/>
          </w:rPr>
          <w:t>Graf č. 2: Vývoj příjmů ze souhrnného dotačního vztahu v letech 2007 – 2016 (Kč)</w:t>
        </w:r>
        <w:r w:rsidR="00EC045C">
          <w:rPr>
            <w:noProof/>
            <w:webHidden/>
          </w:rPr>
          <w:tab/>
        </w:r>
        <w:r w:rsidR="00EC045C">
          <w:rPr>
            <w:noProof/>
            <w:webHidden/>
          </w:rPr>
          <w:fldChar w:fldCharType="begin"/>
        </w:r>
        <w:r w:rsidR="00EC045C">
          <w:rPr>
            <w:noProof/>
            <w:webHidden/>
          </w:rPr>
          <w:instrText xml:space="preserve"> PAGEREF _Toc465944075 \h </w:instrText>
        </w:r>
        <w:r w:rsidR="00EC045C">
          <w:rPr>
            <w:noProof/>
            <w:webHidden/>
          </w:rPr>
        </w:r>
        <w:r w:rsidR="00EC045C">
          <w:rPr>
            <w:noProof/>
            <w:webHidden/>
          </w:rPr>
          <w:fldChar w:fldCharType="separate"/>
        </w:r>
        <w:r w:rsidR="00EC045C">
          <w:rPr>
            <w:noProof/>
            <w:webHidden/>
          </w:rPr>
          <w:t>5</w:t>
        </w:r>
        <w:r w:rsidR="00EC045C">
          <w:rPr>
            <w:noProof/>
            <w:webHidden/>
          </w:rPr>
          <w:fldChar w:fldCharType="end"/>
        </w:r>
      </w:hyperlink>
    </w:p>
    <w:p w:rsidR="00EC045C" w:rsidRDefault="00017CCD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65944076" w:history="1">
        <w:r w:rsidR="00EC045C" w:rsidRPr="00E531D6">
          <w:rPr>
            <w:rStyle w:val="Hypertextovodkaz"/>
            <w:noProof/>
          </w:rPr>
          <w:t>Graf č. 3: Vývoj daňových příjmů v letech 2006 – 2016 v Kč</w:t>
        </w:r>
        <w:r w:rsidR="00EC045C">
          <w:rPr>
            <w:noProof/>
            <w:webHidden/>
          </w:rPr>
          <w:tab/>
        </w:r>
        <w:r w:rsidR="00EC045C">
          <w:rPr>
            <w:noProof/>
            <w:webHidden/>
          </w:rPr>
          <w:fldChar w:fldCharType="begin"/>
        </w:r>
        <w:r w:rsidR="00EC045C">
          <w:rPr>
            <w:noProof/>
            <w:webHidden/>
          </w:rPr>
          <w:instrText xml:space="preserve"> PAGEREF _Toc465944076 \h </w:instrText>
        </w:r>
        <w:r w:rsidR="00EC045C">
          <w:rPr>
            <w:noProof/>
            <w:webHidden/>
          </w:rPr>
        </w:r>
        <w:r w:rsidR="00EC045C">
          <w:rPr>
            <w:noProof/>
            <w:webHidden/>
          </w:rPr>
          <w:fldChar w:fldCharType="separate"/>
        </w:r>
        <w:r w:rsidR="00EC045C">
          <w:rPr>
            <w:noProof/>
            <w:webHidden/>
          </w:rPr>
          <w:t>5</w:t>
        </w:r>
        <w:r w:rsidR="00EC045C">
          <w:rPr>
            <w:noProof/>
            <w:webHidden/>
          </w:rPr>
          <w:fldChar w:fldCharType="end"/>
        </w:r>
      </w:hyperlink>
    </w:p>
    <w:p w:rsidR="00EC045C" w:rsidRDefault="00017CCD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65944077" w:history="1">
        <w:r w:rsidR="00EC045C" w:rsidRPr="00E531D6">
          <w:rPr>
            <w:rStyle w:val="Hypertextovodkaz"/>
            <w:noProof/>
          </w:rPr>
          <w:t>Tabulka č. 1: Meziroční vývoj daňových příjmů v lednu až září</w:t>
        </w:r>
        <w:r w:rsidR="00EC045C">
          <w:rPr>
            <w:noProof/>
            <w:webHidden/>
          </w:rPr>
          <w:tab/>
        </w:r>
        <w:r w:rsidR="00EC045C">
          <w:rPr>
            <w:noProof/>
            <w:webHidden/>
          </w:rPr>
          <w:fldChar w:fldCharType="begin"/>
        </w:r>
        <w:r w:rsidR="00EC045C">
          <w:rPr>
            <w:noProof/>
            <w:webHidden/>
          </w:rPr>
          <w:instrText xml:space="preserve"> PAGEREF _Toc465944077 \h </w:instrText>
        </w:r>
        <w:r w:rsidR="00EC045C">
          <w:rPr>
            <w:noProof/>
            <w:webHidden/>
          </w:rPr>
        </w:r>
        <w:r w:rsidR="00EC045C">
          <w:rPr>
            <w:noProof/>
            <w:webHidden/>
          </w:rPr>
          <w:fldChar w:fldCharType="separate"/>
        </w:r>
        <w:r w:rsidR="00EC045C">
          <w:rPr>
            <w:noProof/>
            <w:webHidden/>
          </w:rPr>
          <w:t>6</w:t>
        </w:r>
        <w:r w:rsidR="00EC045C">
          <w:rPr>
            <w:noProof/>
            <w:webHidden/>
          </w:rPr>
          <w:fldChar w:fldCharType="end"/>
        </w:r>
      </w:hyperlink>
    </w:p>
    <w:p w:rsidR="00EC045C" w:rsidRDefault="00017CCD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65944078" w:history="1">
        <w:r w:rsidR="00EC045C" w:rsidRPr="00E531D6">
          <w:rPr>
            <w:rStyle w:val="Hypertextovodkaz"/>
            <w:noProof/>
          </w:rPr>
          <w:t>Graf č. 4: Nedaňové příjmy 2006 – 2021</w:t>
        </w:r>
        <w:r w:rsidR="00EC045C">
          <w:rPr>
            <w:noProof/>
            <w:webHidden/>
          </w:rPr>
          <w:tab/>
        </w:r>
        <w:r w:rsidR="00EC045C">
          <w:rPr>
            <w:noProof/>
            <w:webHidden/>
          </w:rPr>
          <w:fldChar w:fldCharType="begin"/>
        </w:r>
        <w:r w:rsidR="00EC045C">
          <w:rPr>
            <w:noProof/>
            <w:webHidden/>
          </w:rPr>
          <w:instrText xml:space="preserve"> PAGEREF _Toc465944078 \h </w:instrText>
        </w:r>
        <w:r w:rsidR="00EC045C">
          <w:rPr>
            <w:noProof/>
            <w:webHidden/>
          </w:rPr>
        </w:r>
        <w:r w:rsidR="00EC045C">
          <w:rPr>
            <w:noProof/>
            <w:webHidden/>
          </w:rPr>
          <w:fldChar w:fldCharType="separate"/>
        </w:r>
        <w:r w:rsidR="00EC045C">
          <w:rPr>
            <w:noProof/>
            <w:webHidden/>
          </w:rPr>
          <w:t>7</w:t>
        </w:r>
        <w:r w:rsidR="00EC045C">
          <w:rPr>
            <w:noProof/>
            <w:webHidden/>
          </w:rPr>
          <w:fldChar w:fldCharType="end"/>
        </w:r>
      </w:hyperlink>
    </w:p>
    <w:p w:rsidR="00EC045C" w:rsidRDefault="00017CCD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65944079" w:history="1">
        <w:r w:rsidR="00EC045C" w:rsidRPr="00E531D6">
          <w:rPr>
            <w:rStyle w:val="Hypertextovodkaz"/>
            <w:noProof/>
          </w:rPr>
          <w:t>Graf č. 5: Výdaje města Šlapanice v letech 2006 - 2016</w:t>
        </w:r>
        <w:r w:rsidR="00EC045C">
          <w:rPr>
            <w:noProof/>
            <w:webHidden/>
          </w:rPr>
          <w:tab/>
        </w:r>
        <w:r w:rsidR="00EC045C">
          <w:rPr>
            <w:noProof/>
            <w:webHidden/>
          </w:rPr>
          <w:fldChar w:fldCharType="begin"/>
        </w:r>
        <w:r w:rsidR="00EC045C">
          <w:rPr>
            <w:noProof/>
            <w:webHidden/>
          </w:rPr>
          <w:instrText xml:space="preserve"> PAGEREF _Toc465944079 \h </w:instrText>
        </w:r>
        <w:r w:rsidR="00EC045C">
          <w:rPr>
            <w:noProof/>
            <w:webHidden/>
          </w:rPr>
        </w:r>
        <w:r w:rsidR="00EC045C">
          <w:rPr>
            <w:noProof/>
            <w:webHidden/>
          </w:rPr>
          <w:fldChar w:fldCharType="separate"/>
        </w:r>
        <w:r w:rsidR="00EC045C">
          <w:rPr>
            <w:noProof/>
            <w:webHidden/>
          </w:rPr>
          <w:t>8</w:t>
        </w:r>
        <w:r w:rsidR="00EC045C">
          <w:rPr>
            <w:noProof/>
            <w:webHidden/>
          </w:rPr>
          <w:fldChar w:fldCharType="end"/>
        </w:r>
      </w:hyperlink>
    </w:p>
    <w:p w:rsidR="00EC045C" w:rsidRDefault="00017CCD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65944080" w:history="1">
        <w:r w:rsidR="00EC045C" w:rsidRPr="00E531D6">
          <w:rPr>
            <w:rStyle w:val="Hypertextovodkaz"/>
            <w:noProof/>
          </w:rPr>
          <w:t>Graf č. 6: Vývoj výdajů na činnost místní správy v letech 2010 - 2016</w:t>
        </w:r>
        <w:r w:rsidR="00EC045C">
          <w:rPr>
            <w:noProof/>
            <w:webHidden/>
          </w:rPr>
          <w:tab/>
        </w:r>
        <w:r w:rsidR="00EC045C">
          <w:rPr>
            <w:noProof/>
            <w:webHidden/>
          </w:rPr>
          <w:fldChar w:fldCharType="begin"/>
        </w:r>
        <w:r w:rsidR="00EC045C">
          <w:rPr>
            <w:noProof/>
            <w:webHidden/>
          </w:rPr>
          <w:instrText xml:space="preserve"> PAGEREF _Toc465944080 \h </w:instrText>
        </w:r>
        <w:r w:rsidR="00EC045C">
          <w:rPr>
            <w:noProof/>
            <w:webHidden/>
          </w:rPr>
        </w:r>
        <w:r w:rsidR="00EC045C">
          <w:rPr>
            <w:noProof/>
            <w:webHidden/>
          </w:rPr>
          <w:fldChar w:fldCharType="separate"/>
        </w:r>
        <w:r w:rsidR="00EC045C">
          <w:rPr>
            <w:noProof/>
            <w:webHidden/>
          </w:rPr>
          <w:t>9</w:t>
        </w:r>
        <w:r w:rsidR="00EC045C">
          <w:rPr>
            <w:noProof/>
            <w:webHidden/>
          </w:rPr>
          <w:fldChar w:fldCharType="end"/>
        </w:r>
      </w:hyperlink>
    </w:p>
    <w:p w:rsidR="00EC045C" w:rsidRDefault="00017CCD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65944081" w:history="1">
        <w:r w:rsidR="00EC045C" w:rsidRPr="00E531D6">
          <w:rPr>
            <w:rStyle w:val="Hypertextovodkaz"/>
            <w:noProof/>
          </w:rPr>
          <w:t>Graf č. 7: Přehled výdajů na příspěvkové organizace města Šlapanice v letech 2010 - 2016</w:t>
        </w:r>
        <w:r w:rsidR="00EC045C">
          <w:rPr>
            <w:noProof/>
            <w:webHidden/>
          </w:rPr>
          <w:tab/>
        </w:r>
        <w:r w:rsidR="00EC045C">
          <w:rPr>
            <w:noProof/>
            <w:webHidden/>
          </w:rPr>
          <w:fldChar w:fldCharType="begin"/>
        </w:r>
        <w:r w:rsidR="00EC045C">
          <w:rPr>
            <w:noProof/>
            <w:webHidden/>
          </w:rPr>
          <w:instrText xml:space="preserve"> PAGEREF _Toc465944081 \h </w:instrText>
        </w:r>
        <w:r w:rsidR="00EC045C">
          <w:rPr>
            <w:noProof/>
            <w:webHidden/>
          </w:rPr>
        </w:r>
        <w:r w:rsidR="00EC045C">
          <w:rPr>
            <w:noProof/>
            <w:webHidden/>
          </w:rPr>
          <w:fldChar w:fldCharType="separate"/>
        </w:r>
        <w:r w:rsidR="00EC045C">
          <w:rPr>
            <w:noProof/>
            <w:webHidden/>
          </w:rPr>
          <w:t>10</w:t>
        </w:r>
        <w:r w:rsidR="00EC045C">
          <w:rPr>
            <w:noProof/>
            <w:webHidden/>
          </w:rPr>
          <w:fldChar w:fldCharType="end"/>
        </w:r>
      </w:hyperlink>
    </w:p>
    <w:p w:rsidR="00EC045C" w:rsidRDefault="00017CCD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65944082" w:history="1">
        <w:r w:rsidR="00EC045C" w:rsidRPr="00E531D6">
          <w:rPr>
            <w:rStyle w:val="Hypertextovodkaz"/>
            <w:noProof/>
          </w:rPr>
          <w:t>Tabulka č. 2: Přehled čerpání a splátek bankovních úvěrů 2014 - 2023</w:t>
        </w:r>
        <w:r w:rsidR="00EC045C">
          <w:rPr>
            <w:noProof/>
            <w:webHidden/>
          </w:rPr>
          <w:tab/>
        </w:r>
        <w:r w:rsidR="00EC045C">
          <w:rPr>
            <w:noProof/>
            <w:webHidden/>
          </w:rPr>
          <w:fldChar w:fldCharType="begin"/>
        </w:r>
        <w:r w:rsidR="00EC045C">
          <w:rPr>
            <w:noProof/>
            <w:webHidden/>
          </w:rPr>
          <w:instrText xml:space="preserve"> PAGEREF _Toc465944082 \h </w:instrText>
        </w:r>
        <w:r w:rsidR="00EC045C">
          <w:rPr>
            <w:noProof/>
            <w:webHidden/>
          </w:rPr>
        </w:r>
        <w:r w:rsidR="00EC045C">
          <w:rPr>
            <w:noProof/>
            <w:webHidden/>
          </w:rPr>
          <w:fldChar w:fldCharType="separate"/>
        </w:r>
        <w:r w:rsidR="00EC045C">
          <w:rPr>
            <w:noProof/>
            <w:webHidden/>
          </w:rPr>
          <w:t>10</w:t>
        </w:r>
        <w:r w:rsidR="00EC045C">
          <w:rPr>
            <w:noProof/>
            <w:webHidden/>
          </w:rPr>
          <w:fldChar w:fldCharType="end"/>
        </w:r>
      </w:hyperlink>
    </w:p>
    <w:p w:rsidR="00EC045C" w:rsidRDefault="00017CCD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65944083" w:history="1">
        <w:r w:rsidR="00EC045C" w:rsidRPr="00E531D6">
          <w:rPr>
            <w:rStyle w:val="Hypertextovodkaz"/>
            <w:noProof/>
          </w:rPr>
          <w:t>Graf č. 8:Ukazatel dluhové služby v letech 2010 – 2016</w:t>
        </w:r>
        <w:r w:rsidR="00EC045C">
          <w:rPr>
            <w:noProof/>
            <w:webHidden/>
          </w:rPr>
          <w:tab/>
        </w:r>
        <w:r w:rsidR="00EC045C">
          <w:rPr>
            <w:noProof/>
            <w:webHidden/>
          </w:rPr>
          <w:fldChar w:fldCharType="begin"/>
        </w:r>
        <w:r w:rsidR="00EC045C">
          <w:rPr>
            <w:noProof/>
            <w:webHidden/>
          </w:rPr>
          <w:instrText xml:space="preserve"> PAGEREF _Toc465944083 \h </w:instrText>
        </w:r>
        <w:r w:rsidR="00EC045C">
          <w:rPr>
            <w:noProof/>
            <w:webHidden/>
          </w:rPr>
        </w:r>
        <w:r w:rsidR="00EC045C">
          <w:rPr>
            <w:noProof/>
            <w:webHidden/>
          </w:rPr>
          <w:fldChar w:fldCharType="separate"/>
        </w:r>
        <w:r w:rsidR="00EC045C">
          <w:rPr>
            <w:noProof/>
            <w:webHidden/>
          </w:rPr>
          <w:t>12</w:t>
        </w:r>
        <w:r w:rsidR="00EC045C">
          <w:rPr>
            <w:noProof/>
            <w:webHidden/>
          </w:rPr>
          <w:fldChar w:fldCharType="end"/>
        </w:r>
      </w:hyperlink>
    </w:p>
    <w:p w:rsidR="00EC045C" w:rsidRDefault="00017CCD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65944084" w:history="1">
        <w:r w:rsidR="00EC045C" w:rsidRPr="00E531D6">
          <w:rPr>
            <w:rStyle w:val="Hypertextovodkaz"/>
            <w:noProof/>
          </w:rPr>
          <w:t>Tabulka č. 3: Příjmy v letech 2015 – 2021 v tis. Kč</w:t>
        </w:r>
        <w:r w:rsidR="00EC045C">
          <w:rPr>
            <w:noProof/>
            <w:webHidden/>
          </w:rPr>
          <w:tab/>
        </w:r>
        <w:r w:rsidR="00EC045C">
          <w:rPr>
            <w:noProof/>
            <w:webHidden/>
          </w:rPr>
          <w:fldChar w:fldCharType="begin"/>
        </w:r>
        <w:r w:rsidR="00EC045C">
          <w:rPr>
            <w:noProof/>
            <w:webHidden/>
          </w:rPr>
          <w:instrText xml:space="preserve"> PAGEREF _Toc465944084 \h </w:instrText>
        </w:r>
        <w:r w:rsidR="00EC045C">
          <w:rPr>
            <w:noProof/>
            <w:webHidden/>
          </w:rPr>
        </w:r>
        <w:r w:rsidR="00EC045C">
          <w:rPr>
            <w:noProof/>
            <w:webHidden/>
          </w:rPr>
          <w:fldChar w:fldCharType="separate"/>
        </w:r>
        <w:r w:rsidR="00EC045C">
          <w:rPr>
            <w:noProof/>
            <w:webHidden/>
          </w:rPr>
          <w:t>13</w:t>
        </w:r>
        <w:r w:rsidR="00EC045C">
          <w:rPr>
            <w:noProof/>
            <w:webHidden/>
          </w:rPr>
          <w:fldChar w:fldCharType="end"/>
        </w:r>
      </w:hyperlink>
    </w:p>
    <w:p w:rsidR="00EC045C" w:rsidRDefault="00017CCD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65944085" w:history="1">
        <w:r w:rsidR="00EC045C" w:rsidRPr="00E531D6">
          <w:rPr>
            <w:rStyle w:val="Hypertextovodkaz"/>
            <w:noProof/>
          </w:rPr>
          <w:t>Tabulka č. 4: Financování v letech 2015 – 2021 v tis. Kč</w:t>
        </w:r>
        <w:r w:rsidR="00EC045C">
          <w:rPr>
            <w:noProof/>
            <w:webHidden/>
          </w:rPr>
          <w:tab/>
        </w:r>
        <w:r w:rsidR="00EC045C">
          <w:rPr>
            <w:noProof/>
            <w:webHidden/>
          </w:rPr>
          <w:fldChar w:fldCharType="begin"/>
        </w:r>
        <w:r w:rsidR="00EC045C">
          <w:rPr>
            <w:noProof/>
            <w:webHidden/>
          </w:rPr>
          <w:instrText xml:space="preserve"> PAGEREF _Toc465944085 \h </w:instrText>
        </w:r>
        <w:r w:rsidR="00EC045C">
          <w:rPr>
            <w:noProof/>
            <w:webHidden/>
          </w:rPr>
        </w:r>
        <w:r w:rsidR="00EC045C">
          <w:rPr>
            <w:noProof/>
            <w:webHidden/>
          </w:rPr>
          <w:fldChar w:fldCharType="separate"/>
        </w:r>
        <w:r w:rsidR="00EC045C">
          <w:rPr>
            <w:noProof/>
            <w:webHidden/>
          </w:rPr>
          <w:t>13</w:t>
        </w:r>
        <w:r w:rsidR="00EC045C">
          <w:rPr>
            <w:noProof/>
            <w:webHidden/>
          </w:rPr>
          <w:fldChar w:fldCharType="end"/>
        </w:r>
      </w:hyperlink>
    </w:p>
    <w:p w:rsidR="00EC045C" w:rsidRDefault="00017CCD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65944086" w:history="1">
        <w:r w:rsidR="00EC045C" w:rsidRPr="00E531D6">
          <w:rPr>
            <w:rStyle w:val="Hypertextovodkaz"/>
            <w:noProof/>
          </w:rPr>
          <w:t>Tabulka č. 5: Vývoj stavu prostředků na bankovních účtech</w:t>
        </w:r>
        <w:r w:rsidR="00EC045C">
          <w:rPr>
            <w:noProof/>
            <w:webHidden/>
          </w:rPr>
          <w:tab/>
        </w:r>
        <w:r w:rsidR="00EC045C">
          <w:rPr>
            <w:noProof/>
            <w:webHidden/>
          </w:rPr>
          <w:fldChar w:fldCharType="begin"/>
        </w:r>
        <w:r w:rsidR="00EC045C">
          <w:rPr>
            <w:noProof/>
            <w:webHidden/>
          </w:rPr>
          <w:instrText xml:space="preserve"> PAGEREF _Toc465944086 \h </w:instrText>
        </w:r>
        <w:r w:rsidR="00EC045C">
          <w:rPr>
            <w:noProof/>
            <w:webHidden/>
          </w:rPr>
        </w:r>
        <w:r w:rsidR="00EC045C">
          <w:rPr>
            <w:noProof/>
            <w:webHidden/>
          </w:rPr>
          <w:fldChar w:fldCharType="separate"/>
        </w:r>
        <w:r w:rsidR="00EC045C">
          <w:rPr>
            <w:noProof/>
            <w:webHidden/>
          </w:rPr>
          <w:t>13</w:t>
        </w:r>
        <w:r w:rsidR="00EC045C">
          <w:rPr>
            <w:noProof/>
            <w:webHidden/>
          </w:rPr>
          <w:fldChar w:fldCharType="end"/>
        </w:r>
      </w:hyperlink>
    </w:p>
    <w:p w:rsidR="00EC045C" w:rsidRDefault="00017CCD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65944087" w:history="1">
        <w:r w:rsidR="00EC045C" w:rsidRPr="00E531D6">
          <w:rPr>
            <w:rStyle w:val="Hypertextovodkaz"/>
            <w:noProof/>
          </w:rPr>
          <w:t>Tabulka č. 6: Výdaje v letech 2015 – 2021 v tis. Kč</w:t>
        </w:r>
        <w:r w:rsidR="00EC045C">
          <w:rPr>
            <w:noProof/>
            <w:webHidden/>
          </w:rPr>
          <w:tab/>
        </w:r>
        <w:r w:rsidR="00EC045C">
          <w:rPr>
            <w:noProof/>
            <w:webHidden/>
          </w:rPr>
          <w:fldChar w:fldCharType="begin"/>
        </w:r>
        <w:r w:rsidR="00EC045C">
          <w:rPr>
            <w:noProof/>
            <w:webHidden/>
          </w:rPr>
          <w:instrText xml:space="preserve"> PAGEREF _Toc465944087 \h </w:instrText>
        </w:r>
        <w:r w:rsidR="00EC045C">
          <w:rPr>
            <w:noProof/>
            <w:webHidden/>
          </w:rPr>
        </w:r>
        <w:r w:rsidR="00EC045C">
          <w:rPr>
            <w:noProof/>
            <w:webHidden/>
          </w:rPr>
          <w:fldChar w:fldCharType="separate"/>
        </w:r>
        <w:r w:rsidR="00EC045C">
          <w:rPr>
            <w:noProof/>
            <w:webHidden/>
          </w:rPr>
          <w:t>14</w:t>
        </w:r>
        <w:r w:rsidR="00EC045C">
          <w:rPr>
            <w:noProof/>
            <w:webHidden/>
          </w:rPr>
          <w:fldChar w:fldCharType="end"/>
        </w:r>
      </w:hyperlink>
    </w:p>
    <w:p w:rsidR="0099738D" w:rsidRPr="00BF7D93" w:rsidRDefault="0099738D" w:rsidP="00D505D4">
      <w:pPr>
        <w:rPr>
          <w:rFonts w:ascii="Arial" w:hAnsi="Arial" w:cs="Arial"/>
          <w:color w:val="FF0000"/>
          <w:sz w:val="24"/>
        </w:rPr>
      </w:pPr>
      <w:r w:rsidRPr="00BF7D93">
        <w:rPr>
          <w:color w:val="FF0000"/>
          <w:sz w:val="28"/>
        </w:rPr>
        <w:fldChar w:fldCharType="end"/>
      </w:r>
    </w:p>
    <w:p w:rsidR="00AD10F6" w:rsidRPr="00BF7D93" w:rsidRDefault="00AD10F6">
      <w:pPr>
        <w:rPr>
          <w:rFonts w:ascii="Arial" w:hAnsi="Arial" w:cs="Arial"/>
          <w:color w:val="FF0000"/>
          <w:sz w:val="24"/>
        </w:rPr>
      </w:pPr>
    </w:p>
    <w:p w:rsidR="0099738D" w:rsidRPr="00BF7D93" w:rsidRDefault="0099738D">
      <w:pPr>
        <w:rPr>
          <w:rFonts w:ascii="Arial" w:hAnsi="Arial" w:cs="Arial"/>
          <w:color w:val="FF0000"/>
          <w:sz w:val="24"/>
        </w:rPr>
      </w:pPr>
    </w:p>
    <w:p w:rsidR="00A57204" w:rsidRPr="00BF7D93" w:rsidRDefault="00A57204">
      <w:pPr>
        <w:rPr>
          <w:color w:val="FF0000"/>
          <w:sz w:val="28"/>
        </w:rPr>
      </w:pPr>
    </w:p>
    <w:p w:rsidR="0099738D" w:rsidRPr="00BF7D93" w:rsidRDefault="0099738D">
      <w:pPr>
        <w:rPr>
          <w:rFonts w:ascii="Arial" w:eastAsiaTheme="majorEastAsia" w:hAnsi="Arial" w:cstheme="majorBidi"/>
          <w:b/>
          <w:bCs/>
          <w:color w:val="FF0000"/>
          <w:sz w:val="28"/>
          <w:szCs w:val="28"/>
        </w:rPr>
      </w:pPr>
      <w:r w:rsidRPr="00BF7D93">
        <w:rPr>
          <w:color w:val="FF0000"/>
        </w:rPr>
        <w:br w:type="page"/>
      </w:r>
    </w:p>
    <w:p w:rsidR="00A57204" w:rsidRPr="006726EA" w:rsidRDefault="00F21959" w:rsidP="00F21959">
      <w:pPr>
        <w:pStyle w:val="Nadpis1"/>
      </w:pPr>
      <w:bookmarkStart w:id="0" w:name="_Toc465944056"/>
      <w:r w:rsidRPr="006726EA">
        <w:lastRenderedPageBreak/>
        <w:t>ÚVOD</w:t>
      </w:r>
      <w:bookmarkEnd w:id="0"/>
    </w:p>
    <w:p w:rsidR="00C84FC3" w:rsidRPr="006726EA" w:rsidRDefault="00C84FC3" w:rsidP="00C84FC3">
      <w:pPr>
        <w:spacing w:before="240"/>
        <w:jc w:val="both"/>
        <w:rPr>
          <w:rFonts w:ascii="Arial" w:hAnsi="Arial" w:cs="Arial"/>
          <w:sz w:val="24"/>
        </w:rPr>
      </w:pPr>
      <w:r w:rsidRPr="006726EA">
        <w:rPr>
          <w:rFonts w:ascii="Arial" w:hAnsi="Arial" w:cs="Arial"/>
          <w:sz w:val="24"/>
        </w:rPr>
        <w:t xml:space="preserve">Rozpočtový výhled je </w:t>
      </w:r>
      <w:r w:rsidR="004C1E7A" w:rsidRPr="006726EA">
        <w:rPr>
          <w:rFonts w:ascii="Arial" w:hAnsi="Arial" w:cs="Arial"/>
          <w:sz w:val="24"/>
        </w:rPr>
        <w:t>po</w:t>
      </w:r>
      <w:r w:rsidRPr="006726EA">
        <w:rPr>
          <w:rFonts w:ascii="Arial" w:hAnsi="Arial" w:cs="Arial"/>
          <w:sz w:val="24"/>
        </w:rPr>
        <w:t xml:space="preserve">dle ustanovení § 3 zákona č. 250/2000 Sb., o rozpočtových pravidlech územních rozpočtů, ve znění pozdějších předpisů, pomocným nástrojem územního samosprávného celku, který slouží pro střednědobé finanční plánování rozvoje jeho hospodářství. Sestavuje se na základě uzavřených smluvních vztahů a přijatých závazků zpravidla na 2 až 5 let následujících po roce, na který se sestavuje roční rozpočet. Rozpočtový výhled obsahuje souhrnné základní údaje o příjmech a výdajích, dlouhodobých závazcích a pohledávkách, o finančních zdrojích a potřebách dlouhodobě realizovaných záměrů. </w:t>
      </w:r>
      <w:r w:rsidR="004C1E7A" w:rsidRPr="006726EA">
        <w:rPr>
          <w:rFonts w:ascii="Arial" w:hAnsi="Arial" w:cs="Arial"/>
          <w:sz w:val="24"/>
        </w:rPr>
        <w:t xml:space="preserve">Město Šlapanice </w:t>
      </w:r>
      <w:r w:rsidR="00FE59ED" w:rsidRPr="006726EA">
        <w:rPr>
          <w:rFonts w:ascii="Arial" w:hAnsi="Arial" w:cs="Arial"/>
          <w:sz w:val="24"/>
        </w:rPr>
        <w:t>sestavuje rozpočtový výhled na 5 let</w:t>
      </w:r>
      <w:r w:rsidR="004C1E7A" w:rsidRPr="006726EA">
        <w:rPr>
          <w:rFonts w:ascii="Arial" w:hAnsi="Arial" w:cs="Arial"/>
          <w:sz w:val="24"/>
        </w:rPr>
        <w:t>.</w:t>
      </w:r>
    </w:p>
    <w:p w:rsidR="007325EC" w:rsidRPr="00BF7D93" w:rsidRDefault="007325EC" w:rsidP="007325EC">
      <w:pPr>
        <w:jc w:val="both"/>
        <w:rPr>
          <w:color w:val="FF0000"/>
        </w:rPr>
      </w:pPr>
      <w:r w:rsidRPr="006726EA">
        <w:rPr>
          <w:rFonts w:ascii="Arial" w:hAnsi="Arial" w:cs="Arial"/>
          <w:sz w:val="24"/>
        </w:rPr>
        <w:t>Rozpočtový výhled města Šlapanice na období 201</w:t>
      </w:r>
      <w:r w:rsidR="006726EA" w:rsidRPr="006726EA">
        <w:rPr>
          <w:rFonts w:ascii="Arial" w:hAnsi="Arial" w:cs="Arial"/>
          <w:sz w:val="24"/>
        </w:rPr>
        <w:t>7</w:t>
      </w:r>
      <w:r w:rsidRPr="006726EA">
        <w:rPr>
          <w:rFonts w:ascii="Arial" w:hAnsi="Arial" w:cs="Arial"/>
          <w:sz w:val="24"/>
        </w:rPr>
        <w:t xml:space="preserve"> – 202</w:t>
      </w:r>
      <w:r w:rsidR="006726EA" w:rsidRPr="006726EA">
        <w:rPr>
          <w:rFonts w:ascii="Arial" w:hAnsi="Arial" w:cs="Arial"/>
          <w:sz w:val="24"/>
        </w:rPr>
        <w:t>1</w:t>
      </w:r>
      <w:r w:rsidRPr="006726EA">
        <w:rPr>
          <w:rFonts w:ascii="Arial" w:hAnsi="Arial" w:cs="Arial"/>
          <w:sz w:val="24"/>
        </w:rPr>
        <w:t xml:space="preserve"> vychází ze skutečného vývoje příjmů a výdajů v předchozích letech a očekávané </w:t>
      </w:r>
      <w:r w:rsidR="006726EA" w:rsidRPr="006726EA">
        <w:rPr>
          <w:rFonts w:ascii="Arial" w:hAnsi="Arial" w:cs="Arial"/>
          <w:sz w:val="24"/>
        </w:rPr>
        <w:t>skutečnosti roku 2016</w:t>
      </w:r>
      <w:r w:rsidRPr="006726EA">
        <w:rPr>
          <w:rFonts w:ascii="Arial" w:hAnsi="Arial" w:cs="Arial"/>
          <w:sz w:val="24"/>
        </w:rPr>
        <w:t>. Základem pro</w:t>
      </w:r>
      <w:r w:rsidR="006726EA" w:rsidRPr="006726EA">
        <w:rPr>
          <w:rFonts w:ascii="Arial" w:hAnsi="Arial" w:cs="Arial"/>
          <w:sz w:val="24"/>
        </w:rPr>
        <w:t xml:space="preserve"> stanovení skutečnosti roku 2016</w:t>
      </w:r>
      <w:r w:rsidRPr="006726EA">
        <w:rPr>
          <w:rFonts w:ascii="Arial" w:hAnsi="Arial" w:cs="Arial"/>
          <w:sz w:val="24"/>
        </w:rPr>
        <w:t xml:space="preserve"> byl především aktuální upra</w:t>
      </w:r>
      <w:r w:rsidR="006726EA" w:rsidRPr="006726EA">
        <w:rPr>
          <w:rFonts w:ascii="Arial" w:hAnsi="Arial" w:cs="Arial"/>
          <w:sz w:val="24"/>
        </w:rPr>
        <w:t>vený rozpočet a jeho plnění k 30</w:t>
      </w:r>
      <w:r w:rsidRPr="006726EA">
        <w:rPr>
          <w:rFonts w:ascii="Arial" w:hAnsi="Arial" w:cs="Arial"/>
          <w:sz w:val="24"/>
        </w:rPr>
        <w:t>.</w:t>
      </w:r>
      <w:r w:rsidR="00A9413F" w:rsidRPr="006726EA">
        <w:rPr>
          <w:rFonts w:ascii="Arial" w:hAnsi="Arial" w:cs="Arial"/>
          <w:sz w:val="24"/>
        </w:rPr>
        <w:t xml:space="preserve"> </w:t>
      </w:r>
      <w:r w:rsidR="006726EA" w:rsidRPr="006726EA">
        <w:rPr>
          <w:rFonts w:ascii="Arial" w:hAnsi="Arial" w:cs="Arial"/>
          <w:sz w:val="24"/>
        </w:rPr>
        <w:t>9</w:t>
      </w:r>
      <w:r w:rsidRPr="006726EA">
        <w:rPr>
          <w:rFonts w:ascii="Arial" w:hAnsi="Arial" w:cs="Arial"/>
          <w:sz w:val="24"/>
        </w:rPr>
        <w:t>.</w:t>
      </w:r>
      <w:r w:rsidR="00A9413F" w:rsidRPr="006726EA">
        <w:rPr>
          <w:rFonts w:ascii="Arial" w:hAnsi="Arial" w:cs="Arial"/>
          <w:sz w:val="24"/>
        </w:rPr>
        <w:t xml:space="preserve"> </w:t>
      </w:r>
      <w:r w:rsidRPr="006726EA">
        <w:rPr>
          <w:rFonts w:ascii="Arial" w:hAnsi="Arial" w:cs="Arial"/>
          <w:sz w:val="24"/>
        </w:rPr>
        <w:t>201</w:t>
      </w:r>
      <w:r w:rsidR="006726EA" w:rsidRPr="006726EA">
        <w:rPr>
          <w:rFonts w:ascii="Arial" w:hAnsi="Arial" w:cs="Arial"/>
          <w:sz w:val="24"/>
        </w:rPr>
        <w:t>6</w:t>
      </w:r>
      <w:r w:rsidR="00763B16" w:rsidRPr="006726EA">
        <w:rPr>
          <w:rFonts w:ascii="Arial" w:hAnsi="Arial" w:cs="Arial"/>
          <w:sz w:val="24"/>
        </w:rPr>
        <w:t>.</w:t>
      </w:r>
      <w:r w:rsidRPr="006726EA">
        <w:rPr>
          <w:rFonts w:ascii="Arial" w:hAnsi="Arial" w:cs="Arial"/>
          <w:sz w:val="24"/>
        </w:rPr>
        <w:t xml:space="preserve"> V některých případech, jako jsou dotace ze státního rozpočtu, příjmy a výdaje na projekty spolufinancované z fondů Evropské unie (dále jen „EU“), vychází očekávaná </w:t>
      </w:r>
      <w:r w:rsidRPr="00D23519">
        <w:rPr>
          <w:rFonts w:ascii="Arial" w:hAnsi="Arial" w:cs="Arial"/>
          <w:sz w:val="24"/>
        </w:rPr>
        <w:t>skutečnost z aktuálně dostupných informací a byla stanovena kvalifikovaným odhadem. Při tvorbě rozpočtového výhledu bylo přihlédnuto k vývoji hlavních makroekonomických indikátorů české ekonomiky a jejich predik</w:t>
      </w:r>
      <w:r w:rsidR="00AE3E9C">
        <w:rPr>
          <w:rFonts w:ascii="Arial" w:hAnsi="Arial" w:cs="Arial"/>
          <w:sz w:val="24"/>
        </w:rPr>
        <w:t>ci</w:t>
      </w:r>
      <w:r w:rsidRPr="00D23519">
        <w:rPr>
          <w:rFonts w:ascii="Arial" w:hAnsi="Arial" w:cs="Arial"/>
          <w:sz w:val="24"/>
        </w:rPr>
        <w:t xml:space="preserve"> zpracované Ministerstvem financí ČR (dále jen „MF ČR“) </w:t>
      </w:r>
      <w:r w:rsidR="00D23519" w:rsidRPr="00D23519">
        <w:rPr>
          <w:rFonts w:ascii="Arial" w:hAnsi="Arial" w:cs="Arial"/>
          <w:sz w:val="24"/>
        </w:rPr>
        <w:t>v červenci roku 2016</w:t>
      </w:r>
      <w:r w:rsidR="00462C3D" w:rsidRPr="00D23519">
        <w:rPr>
          <w:rFonts w:ascii="Arial" w:hAnsi="Arial" w:cs="Arial"/>
          <w:sz w:val="24"/>
        </w:rPr>
        <w:t xml:space="preserve">. </w:t>
      </w:r>
      <w:r w:rsidR="00A3113D" w:rsidRPr="00D23519">
        <w:rPr>
          <w:rFonts w:ascii="Arial" w:hAnsi="Arial" w:cs="Arial"/>
          <w:sz w:val="24"/>
        </w:rPr>
        <w:t>Pro rok 201</w:t>
      </w:r>
      <w:r w:rsidR="00D23519" w:rsidRPr="00D23519">
        <w:rPr>
          <w:rFonts w:ascii="Arial" w:hAnsi="Arial" w:cs="Arial"/>
          <w:sz w:val="24"/>
        </w:rPr>
        <w:t>6</w:t>
      </w:r>
      <w:r w:rsidR="00A3113D" w:rsidRPr="00D23519">
        <w:rPr>
          <w:rFonts w:ascii="Arial" w:hAnsi="Arial" w:cs="Arial"/>
          <w:sz w:val="24"/>
        </w:rPr>
        <w:t xml:space="preserve"> je </w:t>
      </w:r>
      <w:r w:rsidR="00BE7BDD" w:rsidRPr="00D23519">
        <w:rPr>
          <w:rFonts w:ascii="Arial" w:hAnsi="Arial" w:cs="Arial"/>
          <w:sz w:val="24"/>
        </w:rPr>
        <w:t>očekávaná</w:t>
      </w:r>
      <w:r w:rsidR="00A3113D" w:rsidRPr="00D23519">
        <w:rPr>
          <w:rFonts w:ascii="Arial" w:hAnsi="Arial" w:cs="Arial"/>
          <w:sz w:val="24"/>
        </w:rPr>
        <w:t> inflac</w:t>
      </w:r>
      <w:r w:rsidR="00BE7BDD" w:rsidRPr="00D23519">
        <w:rPr>
          <w:rFonts w:ascii="Arial" w:hAnsi="Arial" w:cs="Arial"/>
          <w:sz w:val="24"/>
        </w:rPr>
        <w:t>e</w:t>
      </w:r>
      <w:r w:rsidR="00A3113D" w:rsidRPr="00D23519">
        <w:rPr>
          <w:rFonts w:ascii="Arial" w:hAnsi="Arial" w:cs="Arial"/>
          <w:sz w:val="24"/>
        </w:rPr>
        <w:t xml:space="preserve"> 0,</w:t>
      </w:r>
      <w:r w:rsidR="00D23519" w:rsidRPr="00D23519">
        <w:rPr>
          <w:rFonts w:ascii="Arial" w:hAnsi="Arial" w:cs="Arial"/>
          <w:sz w:val="24"/>
        </w:rPr>
        <w:t>5</w:t>
      </w:r>
      <w:r w:rsidR="00A3113D" w:rsidRPr="00D23519">
        <w:rPr>
          <w:rFonts w:ascii="Arial" w:hAnsi="Arial" w:cs="Arial"/>
          <w:sz w:val="24"/>
        </w:rPr>
        <w:t>%, pro rok 201</w:t>
      </w:r>
      <w:r w:rsidR="00D23519" w:rsidRPr="00D23519">
        <w:rPr>
          <w:rFonts w:ascii="Arial" w:hAnsi="Arial" w:cs="Arial"/>
          <w:sz w:val="24"/>
        </w:rPr>
        <w:t>7</w:t>
      </w:r>
      <w:r w:rsidR="00A3113D" w:rsidRPr="00D23519">
        <w:rPr>
          <w:rFonts w:ascii="Arial" w:hAnsi="Arial" w:cs="Arial"/>
          <w:sz w:val="24"/>
        </w:rPr>
        <w:t xml:space="preserve"> 1,</w:t>
      </w:r>
      <w:r w:rsidR="00D23519" w:rsidRPr="00D23519">
        <w:rPr>
          <w:rFonts w:ascii="Arial" w:hAnsi="Arial" w:cs="Arial"/>
          <w:sz w:val="24"/>
        </w:rPr>
        <w:t>2</w:t>
      </w:r>
      <w:r w:rsidR="00A3113D" w:rsidRPr="00D23519">
        <w:rPr>
          <w:rFonts w:ascii="Arial" w:hAnsi="Arial" w:cs="Arial"/>
          <w:sz w:val="24"/>
        </w:rPr>
        <w:t xml:space="preserve"> %</w:t>
      </w:r>
      <w:r w:rsidR="00D23519" w:rsidRPr="00D23519">
        <w:rPr>
          <w:rFonts w:ascii="Arial" w:hAnsi="Arial" w:cs="Arial"/>
          <w:sz w:val="24"/>
        </w:rPr>
        <w:t>.</w:t>
      </w:r>
    </w:p>
    <w:p w:rsidR="0012673D" w:rsidRPr="006726EA" w:rsidRDefault="0012673D" w:rsidP="0012673D">
      <w:pPr>
        <w:jc w:val="both"/>
        <w:rPr>
          <w:rFonts w:ascii="Arial" w:hAnsi="Arial" w:cs="Arial"/>
          <w:sz w:val="24"/>
        </w:rPr>
      </w:pPr>
      <w:r w:rsidRPr="006726EA">
        <w:rPr>
          <w:rFonts w:ascii="Arial" w:hAnsi="Arial" w:cs="Arial"/>
          <w:sz w:val="24"/>
        </w:rPr>
        <w:t xml:space="preserve">Do rozpočtového výhledu se promítají také splátky úvěru na základě smlouvy z roku 2013, čerpaného v roce 2014. Rozpočtový výhled dále obsahuje přehled dlouhodobých závazků města Šlapanice, přičemž v případě dlouhodobých závazků jsou zohledněny nejen závazky financování schválené orgány </w:t>
      </w:r>
      <w:r w:rsidR="001F6A93" w:rsidRPr="006726EA">
        <w:rPr>
          <w:rFonts w:ascii="Arial" w:hAnsi="Arial" w:cs="Arial"/>
          <w:sz w:val="24"/>
        </w:rPr>
        <w:t>obce</w:t>
      </w:r>
      <w:r w:rsidRPr="006726EA">
        <w:rPr>
          <w:rFonts w:ascii="Arial" w:hAnsi="Arial" w:cs="Arial"/>
          <w:sz w:val="24"/>
        </w:rPr>
        <w:t xml:space="preserve">, ale i závazky k zajištění </w:t>
      </w:r>
      <w:r w:rsidR="00462C3D" w:rsidRPr="006726EA">
        <w:rPr>
          <w:rFonts w:ascii="Arial" w:hAnsi="Arial" w:cs="Arial"/>
          <w:sz w:val="24"/>
        </w:rPr>
        <w:t xml:space="preserve">provozu městského úřadu </w:t>
      </w:r>
      <w:r w:rsidRPr="006726EA">
        <w:rPr>
          <w:rFonts w:ascii="Arial" w:hAnsi="Arial" w:cs="Arial"/>
          <w:sz w:val="24"/>
        </w:rPr>
        <w:t>a závazky vyplývající z dlouhodobých dodavatelsko-odběratelských vztahů.</w:t>
      </w:r>
    </w:p>
    <w:p w:rsidR="00A3113D" w:rsidRPr="00BF7D93" w:rsidRDefault="00A3113D" w:rsidP="0012673D">
      <w:pPr>
        <w:jc w:val="both"/>
        <w:rPr>
          <w:rFonts w:ascii="Arial" w:hAnsi="Arial" w:cs="Arial"/>
          <w:color w:val="FF0000"/>
          <w:sz w:val="24"/>
        </w:rPr>
      </w:pPr>
    </w:p>
    <w:p w:rsidR="0012673D" w:rsidRPr="00BF7D93" w:rsidRDefault="0012673D" w:rsidP="007325EC">
      <w:pPr>
        <w:jc w:val="both"/>
        <w:rPr>
          <w:color w:val="FF0000"/>
        </w:rPr>
      </w:pPr>
    </w:p>
    <w:p w:rsidR="007325EC" w:rsidRPr="00BF7D93" w:rsidRDefault="007325EC" w:rsidP="00C84FC3">
      <w:pPr>
        <w:spacing w:before="240"/>
        <w:jc w:val="both"/>
        <w:rPr>
          <w:rFonts w:ascii="Arial" w:hAnsi="Arial" w:cs="Arial"/>
          <w:color w:val="FF0000"/>
          <w:sz w:val="24"/>
        </w:rPr>
      </w:pPr>
    </w:p>
    <w:p w:rsidR="007325EC" w:rsidRPr="00BF7D93" w:rsidRDefault="007325EC" w:rsidP="00C84FC3">
      <w:pPr>
        <w:spacing w:before="240"/>
        <w:jc w:val="both"/>
        <w:rPr>
          <w:rFonts w:ascii="Arial" w:hAnsi="Arial" w:cs="Arial"/>
          <w:color w:val="FF0000"/>
          <w:sz w:val="24"/>
        </w:rPr>
      </w:pPr>
    </w:p>
    <w:p w:rsidR="00C84FC3" w:rsidRPr="00BF7D93" w:rsidRDefault="00C84FC3" w:rsidP="00C84FC3">
      <w:pPr>
        <w:rPr>
          <w:color w:val="FF0000"/>
        </w:rPr>
      </w:pPr>
    </w:p>
    <w:p w:rsidR="00614EF8" w:rsidRPr="00BF7D93" w:rsidRDefault="00614EF8">
      <w:pPr>
        <w:rPr>
          <w:rFonts w:ascii="Arial" w:eastAsiaTheme="majorEastAsia" w:hAnsi="Arial" w:cstheme="majorBidi"/>
          <w:b/>
          <w:bCs/>
          <w:color w:val="FF0000"/>
          <w:sz w:val="28"/>
          <w:szCs w:val="28"/>
        </w:rPr>
      </w:pPr>
      <w:r w:rsidRPr="00BF7D93">
        <w:rPr>
          <w:color w:val="FF0000"/>
        </w:rPr>
        <w:br w:type="page"/>
      </w:r>
    </w:p>
    <w:p w:rsidR="00F21959" w:rsidRPr="001B754A" w:rsidRDefault="00F21959" w:rsidP="00F21959">
      <w:pPr>
        <w:pStyle w:val="Nadpis1"/>
        <w:numPr>
          <w:ilvl w:val="0"/>
          <w:numId w:val="1"/>
        </w:numPr>
        <w:ind w:left="284" w:hanging="284"/>
      </w:pPr>
      <w:bookmarkStart w:id="1" w:name="_Toc465944057"/>
      <w:r w:rsidRPr="001B754A">
        <w:lastRenderedPageBreak/>
        <w:t>PŘÍJMY</w:t>
      </w:r>
      <w:bookmarkEnd w:id="1"/>
    </w:p>
    <w:p w:rsidR="00F21959" w:rsidRPr="001B754A" w:rsidRDefault="00A43760" w:rsidP="00B45724">
      <w:pPr>
        <w:spacing w:before="240" w:after="240"/>
        <w:jc w:val="both"/>
        <w:rPr>
          <w:rFonts w:ascii="Arial" w:hAnsi="Arial" w:cs="Arial"/>
          <w:sz w:val="24"/>
        </w:rPr>
      </w:pPr>
      <w:r w:rsidRPr="001B754A">
        <w:rPr>
          <w:rFonts w:ascii="Arial" w:hAnsi="Arial" w:cs="Arial"/>
          <w:sz w:val="24"/>
        </w:rPr>
        <w:t>Rozpočtový výhled příjmů města Šlapanice na období 201</w:t>
      </w:r>
      <w:r w:rsidR="001B754A" w:rsidRPr="001B754A">
        <w:rPr>
          <w:rFonts w:ascii="Arial" w:hAnsi="Arial" w:cs="Arial"/>
          <w:sz w:val="24"/>
        </w:rPr>
        <w:t>7</w:t>
      </w:r>
      <w:r w:rsidRPr="001B754A">
        <w:rPr>
          <w:rFonts w:ascii="Arial" w:hAnsi="Arial" w:cs="Arial"/>
          <w:sz w:val="24"/>
        </w:rPr>
        <w:t xml:space="preserve"> – 202</w:t>
      </w:r>
      <w:r w:rsidR="001B754A" w:rsidRPr="001B754A">
        <w:rPr>
          <w:rFonts w:ascii="Arial" w:hAnsi="Arial" w:cs="Arial"/>
          <w:sz w:val="24"/>
        </w:rPr>
        <w:t>1</w:t>
      </w:r>
      <w:r w:rsidRPr="001B754A">
        <w:rPr>
          <w:rFonts w:ascii="Arial" w:hAnsi="Arial" w:cs="Arial"/>
          <w:sz w:val="24"/>
        </w:rPr>
        <w:t xml:space="preserve"> a přehled dosažených příjmů</w:t>
      </w:r>
      <w:r w:rsidR="008823C9" w:rsidRPr="001B754A">
        <w:rPr>
          <w:rFonts w:ascii="Arial" w:hAnsi="Arial" w:cs="Arial"/>
          <w:sz w:val="24"/>
        </w:rPr>
        <w:t xml:space="preserve"> (resp. </w:t>
      </w:r>
      <w:r w:rsidR="00DC3CA0">
        <w:rPr>
          <w:rFonts w:ascii="Arial" w:hAnsi="Arial" w:cs="Arial"/>
          <w:sz w:val="24"/>
        </w:rPr>
        <w:t>očekávaných) příjmů v období 2015</w:t>
      </w:r>
      <w:r w:rsidR="004B4100" w:rsidRPr="001B754A">
        <w:rPr>
          <w:rFonts w:ascii="Arial" w:hAnsi="Arial" w:cs="Arial"/>
          <w:sz w:val="24"/>
        </w:rPr>
        <w:t xml:space="preserve"> – 201</w:t>
      </w:r>
      <w:r w:rsidR="001B754A" w:rsidRPr="001B754A">
        <w:rPr>
          <w:rFonts w:ascii="Arial" w:hAnsi="Arial" w:cs="Arial"/>
          <w:sz w:val="24"/>
        </w:rPr>
        <w:t>6</w:t>
      </w:r>
      <w:r w:rsidR="004B4100" w:rsidRPr="001B754A">
        <w:rPr>
          <w:rFonts w:ascii="Arial" w:hAnsi="Arial" w:cs="Arial"/>
          <w:sz w:val="24"/>
        </w:rPr>
        <w:t xml:space="preserve"> je uveden v tabulce č.</w:t>
      </w:r>
      <w:r w:rsidR="004756AF" w:rsidRPr="001B754A">
        <w:rPr>
          <w:rFonts w:ascii="Arial" w:hAnsi="Arial" w:cs="Arial"/>
          <w:sz w:val="24"/>
        </w:rPr>
        <w:t xml:space="preserve"> 3.</w:t>
      </w:r>
      <w:r w:rsidR="004B4100" w:rsidRPr="001B754A">
        <w:rPr>
          <w:rFonts w:ascii="Arial" w:hAnsi="Arial" w:cs="Arial"/>
          <w:sz w:val="24"/>
        </w:rPr>
        <w:t xml:space="preserve"> </w:t>
      </w:r>
    </w:p>
    <w:p w:rsidR="0011511A" w:rsidRPr="00476373" w:rsidRDefault="0011511A" w:rsidP="0011511A">
      <w:pPr>
        <w:pStyle w:val="Nadpis2"/>
        <w:numPr>
          <w:ilvl w:val="1"/>
          <w:numId w:val="1"/>
        </w:numPr>
        <w:ind w:left="284" w:hanging="284"/>
        <w:rPr>
          <w:rFonts w:cs="Arial"/>
        </w:rPr>
      </w:pPr>
      <w:bookmarkStart w:id="2" w:name="_Toc465944058"/>
      <w:r w:rsidRPr="00476373">
        <w:rPr>
          <w:rFonts w:cs="Arial"/>
        </w:rPr>
        <w:t>Vývoj v období let 200</w:t>
      </w:r>
      <w:r w:rsidR="00476373" w:rsidRPr="00476373">
        <w:rPr>
          <w:rFonts w:cs="Arial"/>
        </w:rPr>
        <w:t>6</w:t>
      </w:r>
      <w:r w:rsidRPr="00476373">
        <w:rPr>
          <w:rFonts w:cs="Arial"/>
        </w:rPr>
        <w:t xml:space="preserve"> – 201</w:t>
      </w:r>
      <w:r w:rsidR="00476373" w:rsidRPr="00476373">
        <w:rPr>
          <w:rFonts w:cs="Arial"/>
        </w:rPr>
        <w:t>6</w:t>
      </w:r>
      <w:bookmarkEnd w:id="2"/>
    </w:p>
    <w:p w:rsidR="0011511A" w:rsidRPr="00F73BE5" w:rsidRDefault="0011511A" w:rsidP="0011511A">
      <w:pPr>
        <w:spacing w:before="200"/>
        <w:jc w:val="both"/>
        <w:rPr>
          <w:rFonts w:ascii="Arial" w:hAnsi="Arial" w:cs="Arial"/>
          <w:sz w:val="24"/>
        </w:rPr>
      </w:pPr>
      <w:r w:rsidRPr="00476373">
        <w:rPr>
          <w:rFonts w:ascii="Arial" w:hAnsi="Arial" w:cs="Arial"/>
          <w:sz w:val="24"/>
        </w:rPr>
        <w:t xml:space="preserve">Příjmy města Šlapanice jsou tvořeny vlastními příjmy (příjmy daňové, nedaňové a kapitálové) a dotacemi ze státního rozpočtu, fondů EU, státních účelových fondů a případně i od jiných poskytovatelů.  Vývoj příjmů </w:t>
      </w:r>
      <w:r w:rsidR="00B45724" w:rsidRPr="00476373">
        <w:rPr>
          <w:rFonts w:ascii="Arial" w:hAnsi="Arial" w:cs="Arial"/>
          <w:sz w:val="24"/>
        </w:rPr>
        <w:t>obce</w:t>
      </w:r>
      <w:r w:rsidRPr="00476373">
        <w:rPr>
          <w:rFonts w:ascii="Arial" w:hAnsi="Arial" w:cs="Arial"/>
          <w:sz w:val="24"/>
        </w:rPr>
        <w:t xml:space="preserve"> </w:t>
      </w:r>
      <w:r w:rsidR="00B45724" w:rsidRPr="00476373">
        <w:rPr>
          <w:rFonts w:ascii="Arial" w:hAnsi="Arial" w:cs="Arial"/>
          <w:sz w:val="24"/>
        </w:rPr>
        <w:t>po</w:t>
      </w:r>
      <w:r w:rsidRPr="00476373">
        <w:rPr>
          <w:rFonts w:ascii="Arial" w:hAnsi="Arial" w:cs="Arial"/>
          <w:sz w:val="24"/>
        </w:rPr>
        <w:t>dle skutečnosti dosažené v období let 200</w:t>
      </w:r>
      <w:r w:rsidR="00476373" w:rsidRPr="00476373">
        <w:rPr>
          <w:rFonts w:ascii="Arial" w:hAnsi="Arial" w:cs="Arial"/>
          <w:sz w:val="24"/>
        </w:rPr>
        <w:t>6</w:t>
      </w:r>
      <w:r w:rsidRPr="00476373">
        <w:rPr>
          <w:rFonts w:ascii="Arial" w:hAnsi="Arial" w:cs="Arial"/>
          <w:sz w:val="24"/>
        </w:rPr>
        <w:t xml:space="preserve"> až 201</w:t>
      </w:r>
      <w:r w:rsidR="00476373" w:rsidRPr="00476373">
        <w:rPr>
          <w:rFonts w:ascii="Arial" w:hAnsi="Arial" w:cs="Arial"/>
          <w:sz w:val="24"/>
        </w:rPr>
        <w:t>5</w:t>
      </w:r>
      <w:r w:rsidRPr="00476373">
        <w:rPr>
          <w:rFonts w:ascii="Arial" w:hAnsi="Arial" w:cs="Arial"/>
          <w:sz w:val="24"/>
        </w:rPr>
        <w:t xml:space="preserve"> a očekávan</w:t>
      </w:r>
      <w:r w:rsidR="004756AF" w:rsidRPr="00476373">
        <w:rPr>
          <w:rFonts w:ascii="Arial" w:hAnsi="Arial" w:cs="Arial"/>
          <w:sz w:val="24"/>
        </w:rPr>
        <w:t>é</w:t>
      </w:r>
      <w:r w:rsidRPr="00476373">
        <w:rPr>
          <w:rFonts w:ascii="Arial" w:hAnsi="Arial" w:cs="Arial"/>
          <w:sz w:val="24"/>
        </w:rPr>
        <w:t xml:space="preserve"> skutečnost</w:t>
      </w:r>
      <w:r w:rsidR="004756AF" w:rsidRPr="00476373">
        <w:rPr>
          <w:rFonts w:ascii="Arial" w:hAnsi="Arial" w:cs="Arial"/>
          <w:sz w:val="24"/>
        </w:rPr>
        <w:t>i</w:t>
      </w:r>
      <w:r w:rsidRPr="00476373">
        <w:rPr>
          <w:rFonts w:ascii="Arial" w:hAnsi="Arial" w:cs="Arial"/>
          <w:sz w:val="24"/>
        </w:rPr>
        <w:t xml:space="preserve"> roku 201</w:t>
      </w:r>
      <w:r w:rsidR="00476373" w:rsidRPr="00476373">
        <w:rPr>
          <w:rFonts w:ascii="Arial" w:hAnsi="Arial" w:cs="Arial"/>
          <w:sz w:val="24"/>
        </w:rPr>
        <w:t>6</w:t>
      </w:r>
      <w:r w:rsidR="004756AF" w:rsidRPr="00476373">
        <w:rPr>
          <w:rFonts w:ascii="Arial" w:hAnsi="Arial" w:cs="Arial"/>
          <w:sz w:val="24"/>
        </w:rPr>
        <w:t xml:space="preserve"> je </w:t>
      </w:r>
      <w:r w:rsidRPr="00476373">
        <w:rPr>
          <w:rFonts w:ascii="Arial" w:hAnsi="Arial" w:cs="Arial"/>
          <w:sz w:val="24"/>
        </w:rPr>
        <w:t>znázorněn v</w:t>
      </w:r>
      <w:r w:rsidR="00890347" w:rsidRPr="00476373">
        <w:rPr>
          <w:rFonts w:ascii="Arial" w:hAnsi="Arial" w:cs="Arial"/>
          <w:sz w:val="24"/>
        </w:rPr>
        <w:t> grafu č. 1.</w:t>
      </w:r>
    </w:p>
    <w:p w:rsidR="0011511A" w:rsidRPr="00F73BE5" w:rsidRDefault="00890347" w:rsidP="00585D56">
      <w:pPr>
        <w:pStyle w:val="Podtitul"/>
      </w:pPr>
      <w:bookmarkStart w:id="3" w:name="_Toc465944074"/>
      <w:r w:rsidRPr="00F73BE5">
        <w:t>Graf č. 1: Příj</w:t>
      </w:r>
      <w:r w:rsidR="00023C59" w:rsidRPr="00F73BE5">
        <w:t>my města Šlapanice v letech 2006</w:t>
      </w:r>
      <w:r w:rsidRPr="00F73BE5">
        <w:t xml:space="preserve"> - 201</w:t>
      </w:r>
      <w:r w:rsidR="00023C59" w:rsidRPr="00F73BE5">
        <w:t>6</w:t>
      </w:r>
      <w:bookmarkEnd w:id="3"/>
    </w:p>
    <w:p w:rsidR="00A828E0" w:rsidRPr="00BF7D93" w:rsidRDefault="00F73BE5" w:rsidP="00A828E0">
      <w:pPr>
        <w:jc w:val="center"/>
        <w:rPr>
          <w:color w:val="FF0000"/>
        </w:rPr>
      </w:pPr>
      <w:r>
        <w:rPr>
          <w:noProof/>
          <w:lang w:eastAsia="cs-CZ"/>
        </w:rPr>
        <w:drawing>
          <wp:inline distT="0" distB="0" distL="0" distR="0" wp14:anchorId="0BB93F68" wp14:editId="20F1E899">
            <wp:extent cx="4572000" cy="2743200"/>
            <wp:effectExtent l="0" t="0" r="19050" b="1905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1271D" w:rsidRPr="00476373" w:rsidRDefault="0091271D" w:rsidP="0091271D">
      <w:pPr>
        <w:jc w:val="both"/>
        <w:rPr>
          <w:rFonts w:ascii="Arial" w:hAnsi="Arial" w:cs="Arial"/>
          <w:sz w:val="24"/>
        </w:rPr>
      </w:pPr>
      <w:r w:rsidRPr="00476373">
        <w:rPr>
          <w:rFonts w:ascii="Arial" w:hAnsi="Arial" w:cs="Arial"/>
          <w:sz w:val="24"/>
        </w:rPr>
        <w:t>Velký pokles příjmů mezi roky 2011 a 2012 byl způsoben zrušením vyplácení sociáln</w:t>
      </w:r>
      <w:r w:rsidR="0069418A" w:rsidRPr="00476373">
        <w:rPr>
          <w:rFonts w:ascii="Arial" w:hAnsi="Arial" w:cs="Arial"/>
          <w:sz w:val="24"/>
        </w:rPr>
        <w:t xml:space="preserve">ích dávek prostřednictvím obcí. Stejný pokles je vidět u výdajů viz graf č. </w:t>
      </w:r>
      <w:r w:rsidR="000F4B1F" w:rsidRPr="00476373">
        <w:rPr>
          <w:rFonts w:ascii="Arial" w:hAnsi="Arial" w:cs="Arial"/>
          <w:sz w:val="24"/>
        </w:rPr>
        <w:t>4</w:t>
      </w:r>
      <w:r w:rsidR="0069418A" w:rsidRPr="00476373">
        <w:rPr>
          <w:rFonts w:ascii="Arial" w:hAnsi="Arial" w:cs="Arial"/>
          <w:sz w:val="24"/>
        </w:rPr>
        <w:t>.</w:t>
      </w:r>
    </w:p>
    <w:p w:rsidR="0069418A" w:rsidRPr="00476373" w:rsidRDefault="0069418A" w:rsidP="0091271D">
      <w:pPr>
        <w:jc w:val="both"/>
        <w:rPr>
          <w:rFonts w:ascii="Arial" w:hAnsi="Arial" w:cs="Arial"/>
          <w:sz w:val="24"/>
        </w:rPr>
      </w:pPr>
      <w:r w:rsidRPr="00476373">
        <w:rPr>
          <w:rFonts w:ascii="Arial" w:hAnsi="Arial" w:cs="Arial"/>
          <w:sz w:val="24"/>
        </w:rPr>
        <w:t>Vysoký nárůst příjmů roku 2014 byl způsoben přijatými investičními dotacemi z fondů Evropské unie.</w:t>
      </w:r>
    </w:p>
    <w:p w:rsidR="00924DED" w:rsidRPr="00476373" w:rsidRDefault="00924DED" w:rsidP="00924DED">
      <w:pPr>
        <w:jc w:val="both"/>
        <w:rPr>
          <w:rFonts w:ascii="Arial" w:hAnsi="Arial" w:cs="Arial"/>
          <w:sz w:val="24"/>
        </w:rPr>
      </w:pPr>
      <w:r w:rsidRPr="00476373">
        <w:rPr>
          <w:rFonts w:ascii="Arial" w:hAnsi="Arial" w:cs="Arial"/>
          <w:sz w:val="24"/>
        </w:rPr>
        <w:t xml:space="preserve">Významnou část příjmů tvoří dotace poskytovaná </w:t>
      </w:r>
      <w:r w:rsidR="00B45724" w:rsidRPr="00476373">
        <w:rPr>
          <w:rFonts w:ascii="Arial" w:hAnsi="Arial" w:cs="Arial"/>
          <w:sz w:val="24"/>
        </w:rPr>
        <w:t>obci</w:t>
      </w:r>
      <w:r w:rsidRPr="00476373">
        <w:rPr>
          <w:rFonts w:ascii="Arial" w:hAnsi="Arial" w:cs="Arial"/>
          <w:sz w:val="24"/>
        </w:rPr>
        <w:t xml:space="preserve"> v rámci souhrnného dotačního vztahu. Vývoj této dotace v letech zachycuje graf č. 2.</w:t>
      </w:r>
    </w:p>
    <w:p w:rsidR="005C34BD" w:rsidRPr="00BF7D93" w:rsidRDefault="005C34BD" w:rsidP="00924DED">
      <w:pPr>
        <w:jc w:val="both"/>
        <w:rPr>
          <w:rFonts w:ascii="Arial" w:hAnsi="Arial" w:cs="Arial"/>
          <w:color w:val="FF0000"/>
          <w:sz w:val="24"/>
        </w:rPr>
      </w:pPr>
    </w:p>
    <w:p w:rsidR="005C34BD" w:rsidRPr="00BF7D93" w:rsidRDefault="005C34BD" w:rsidP="00924DED">
      <w:pPr>
        <w:jc w:val="both"/>
        <w:rPr>
          <w:rFonts w:ascii="Arial" w:hAnsi="Arial" w:cs="Arial"/>
          <w:color w:val="FF0000"/>
          <w:sz w:val="24"/>
        </w:rPr>
      </w:pPr>
    </w:p>
    <w:p w:rsidR="005C34BD" w:rsidRPr="00BF7D93" w:rsidRDefault="005C34BD" w:rsidP="00924DED">
      <w:pPr>
        <w:jc w:val="both"/>
        <w:rPr>
          <w:rFonts w:ascii="Arial" w:hAnsi="Arial" w:cs="Arial"/>
          <w:color w:val="FF0000"/>
          <w:sz w:val="24"/>
        </w:rPr>
      </w:pPr>
    </w:p>
    <w:p w:rsidR="005C34BD" w:rsidRPr="00BF7D93" w:rsidRDefault="005C34BD" w:rsidP="00924DED">
      <w:pPr>
        <w:jc w:val="both"/>
        <w:rPr>
          <w:rFonts w:ascii="Arial" w:hAnsi="Arial" w:cs="Arial"/>
          <w:color w:val="FF0000"/>
          <w:sz w:val="24"/>
        </w:rPr>
      </w:pPr>
    </w:p>
    <w:p w:rsidR="00924DED" w:rsidRPr="00F73BE5" w:rsidRDefault="00924DED" w:rsidP="0091271D">
      <w:pPr>
        <w:jc w:val="both"/>
        <w:rPr>
          <w:rFonts w:ascii="Arial" w:hAnsi="Arial" w:cs="Arial"/>
          <w:sz w:val="24"/>
        </w:rPr>
      </w:pPr>
    </w:p>
    <w:p w:rsidR="00744110" w:rsidRPr="00F73BE5" w:rsidRDefault="005C34BD" w:rsidP="00585D56">
      <w:pPr>
        <w:pStyle w:val="Podtitul"/>
        <w:ind w:left="1134" w:hanging="1134"/>
      </w:pPr>
      <w:bookmarkStart w:id="4" w:name="_Toc465944075"/>
      <w:r w:rsidRPr="00F73BE5">
        <w:t xml:space="preserve">Graf č. 2: Vývoj příjmů ze souhrnného dotačního vztahu v letech 2007 </w:t>
      </w:r>
      <w:r w:rsidR="00585D56" w:rsidRPr="00F73BE5">
        <w:t>–</w:t>
      </w:r>
      <w:r w:rsidR="00F73BE5" w:rsidRPr="00F73BE5">
        <w:t xml:space="preserve"> 2016</w:t>
      </w:r>
      <w:r w:rsidR="00585D56" w:rsidRPr="00F73BE5">
        <w:t xml:space="preserve"> (Kč)</w:t>
      </w:r>
      <w:bookmarkEnd w:id="4"/>
    </w:p>
    <w:p w:rsidR="0069418A" w:rsidRPr="00BF7D93" w:rsidRDefault="00F73BE5" w:rsidP="00924DED">
      <w:pPr>
        <w:jc w:val="center"/>
        <w:rPr>
          <w:rFonts w:ascii="Arial" w:hAnsi="Arial" w:cs="Arial"/>
          <w:color w:val="FF0000"/>
          <w:sz w:val="24"/>
        </w:rPr>
      </w:pPr>
      <w:r>
        <w:rPr>
          <w:noProof/>
          <w:lang w:eastAsia="cs-CZ"/>
        </w:rPr>
        <w:drawing>
          <wp:inline distT="0" distB="0" distL="0" distR="0" wp14:anchorId="1E83E020" wp14:editId="7D8F3ED3">
            <wp:extent cx="4638675" cy="2743200"/>
            <wp:effectExtent l="0" t="0" r="9525" b="1905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71B79" w:rsidRPr="004B2248" w:rsidRDefault="00E71B79" w:rsidP="00585D56">
      <w:pPr>
        <w:pStyle w:val="Podtitul"/>
      </w:pPr>
      <w:bookmarkStart w:id="5" w:name="_Toc465944076"/>
      <w:r w:rsidRPr="004B2248">
        <w:t>Graf č. 3: Vývoj daňových příjmů</w:t>
      </w:r>
      <w:r w:rsidR="00F73BE5" w:rsidRPr="004B2248">
        <w:t xml:space="preserve"> </w:t>
      </w:r>
      <w:r w:rsidR="00585D56" w:rsidRPr="004B2248">
        <w:t>v letech 200</w:t>
      </w:r>
      <w:r w:rsidR="004B2248" w:rsidRPr="004B2248">
        <w:t>6 – 2016</w:t>
      </w:r>
      <w:r w:rsidR="00585D56" w:rsidRPr="004B2248">
        <w:t xml:space="preserve"> v Kč</w:t>
      </w:r>
      <w:bookmarkEnd w:id="5"/>
    </w:p>
    <w:p w:rsidR="00684D61" w:rsidRDefault="004B2248" w:rsidP="00684D61">
      <w:pPr>
        <w:jc w:val="center"/>
        <w:rPr>
          <w:rFonts w:ascii="Arial" w:hAnsi="Arial" w:cs="Arial"/>
          <w:color w:val="FF0000"/>
          <w:sz w:val="24"/>
        </w:rPr>
      </w:pPr>
      <w:r>
        <w:rPr>
          <w:noProof/>
          <w:lang w:eastAsia="cs-CZ"/>
        </w:rPr>
        <w:drawing>
          <wp:inline distT="0" distB="0" distL="0" distR="0" wp14:anchorId="3159AFC0" wp14:editId="2A859E8B">
            <wp:extent cx="4705350" cy="2790825"/>
            <wp:effectExtent l="0" t="0" r="19050" b="9525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B2248" w:rsidRPr="004B2248" w:rsidRDefault="004B2248" w:rsidP="004B2248">
      <w:pPr>
        <w:jc w:val="both"/>
        <w:rPr>
          <w:rFonts w:ascii="Arial" w:hAnsi="Arial" w:cs="Arial"/>
          <w:sz w:val="24"/>
        </w:rPr>
      </w:pPr>
      <w:r w:rsidRPr="004B2248">
        <w:rPr>
          <w:rFonts w:ascii="Arial" w:hAnsi="Arial" w:cs="Arial"/>
          <w:sz w:val="24"/>
        </w:rPr>
        <w:t>Daňové příjmy v posle</w:t>
      </w:r>
      <w:r>
        <w:rPr>
          <w:rFonts w:ascii="Arial" w:hAnsi="Arial" w:cs="Arial"/>
          <w:sz w:val="24"/>
        </w:rPr>
        <w:t>d</w:t>
      </w:r>
      <w:r w:rsidRPr="004B2248">
        <w:rPr>
          <w:rFonts w:ascii="Arial" w:hAnsi="Arial" w:cs="Arial"/>
          <w:sz w:val="24"/>
        </w:rPr>
        <w:t>ních letech rostou, pokles v roce 2016 je zapříčiněn snížením místního koeficientu daně z nemovitých věcí.</w:t>
      </w:r>
    </w:p>
    <w:p w:rsidR="00D92BC7" w:rsidRPr="00023C59" w:rsidRDefault="00023C59" w:rsidP="000C5906">
      <w:pPr>
        <w:pStyle w:val="Nadpis2"/>
        <w:numPr>
          <w:ilvl w:val="1"/>
          <w:numId w:val="1"/>
        </w:numPr>
        <w:spacing w:before="240"/>
        <w:ind w:left="284" w:hanging="284"/>
        <w:rPr>
          <w:rFonts w:cs="Arial"/>
        </w:rPr>
      </w:pPr>
      <w:bookmarkStart w:id="6" w:name="_Toc465944059"/>
      <w:r w:rsidRPr="00023C59">
        <w:rPr>
          <w:rFonts w:cs="Arial"/>
        </w:rPr>
        <w:t>Výhled na období 2017</w:t>
      </w:r>
      <w:r w:rsidR="00D92BC7" w:rsidRPr="00023C59">
        <w:rPr>
          <w:rFonts w:cs="Arial"/>
        </w:rPr>
        <w:t xml:space="preserve"> – 202</w:t>
      </w:r>
      <w:r w:rsidRPr="00023C59">
        <w:rPr>
          <w:rFonts w:cs="Arial"/>
        </w:rPr>
        <w:t>1</w:t>
      </w:r>
      <w:bookmarkEnd w:id="6"/>
    </w:p>
    <w:p w:rsidR="00E716AF" w:rsidRPr="00023C59" w:rsidRDefault="00E716AF" w:rsidP="001968F6">
      <w:pPr>
        <w:spacing w:before="200" w:after="240"/>
        <w:jc w:val="both"/>
        <w:rPr>
          <w:rFonts w:ascii="Arial" w:hAnsi="Arial" w:cs="Arial"/>
          <w:sz w:val="24"/>
        </w:rPr>
      </w:pPr>
      <w:r w:rsidRPr="00023C59">
        <w:rPr>
          <w:rFonts w:ascii="Arial" w:hAnsi="Arial" w:cs="Arial"/>
          <w:sz w:val="24"/>
        </w:rPr>
        <w:t>Při stanovení rozpočtového výhledu příjmů na období let 201</w:t>
      </w:r>
      <w:r w:rsidR="00023C59" w:rsidRPr="00023C59">
        <w:rPr>
          <w:rFonts w:ascii="Arial" w:hAnsi="Arial" w:cs="Arial"/>
          <w:sz w:val="24"/>
        </w:rPr>
        <w:t>7 – 2021</w:t>
      </w:r>
      <w:r w:rsidRPr="00023C59">
        <w:rPr>
          <w:rFonts w:ascii="Arial" w:hAnsi="Arial" w:cs="Arial"/>
          <w:sz w:val="24"/>
        </w:rPr>
        <w:t xml:space="preserve"> bylo postupováno následujícím způsobem:</w:t>
      </w:r>
    </w:p>
    <w:p w:rsidR="0015071D" w:rsidRPr="00F73BE5" w:rsidRDefault="0015071D" w:rsidP="0015071D">
      <w:pPr>
        <w:pStyle w:val="Nadpis3"/>
        <w:numPr>
          <w:ilvl w:val="2"/>
          <w:numId w:val="1"/>
        </w:numPr>
        <w:ind w:left="426" w:hanging="426"/>
      </w:pPr>
      <w:bookmarkStart w:id="7" w:name="_Toc465944060"/>
      <w:r w:rsidRPr="00F73BE5">
        <w:lastRenderedPageBreak/>
        <w:t>Daňové příjmy</w:t>
      </w:r>
      <w:bookmarkEnd w:id="7"/>
    </w:p>
    <w:p w:rsidR="00E24994" w:rsidRPr="00BF7D93" w:rsidRDefault="00E24994" w:rsidP="001968F6">
      <w:pPr>
        <w:spacing w:before="200"/>
        <w:jc w:val="both"/>
        <w:rPr>
          <w:rFonts w:ascii="Arial" w:hAnsi="Arial" w:cs="Arial"/>
          <w:color w:val="FF0000"/>
          <w:sz w:val="24"/>
        </w:rPr>
      </w:pPr>
      <w:r w:rsidRPr="00D70D7B">
        <w:rPr>
          <w:rFonts w:ascii="Arial" w:hAnsi="Arial" w:cs="Arial"/>
          <w:sz w:val="24"/>
        </w:rPr>
        <w:t>Při tvorbě r</w:t>
      </w:r>
      <w:r w:rsidR="00D70D7B" w:rsidRPr="00D70D7B">
        <w:rPr>
          <w:rFonts w:ascii="Arial" w:hAnsi="Arial" w:cs="Arial"/>
          <w:sz w:val="24"/>
        </w:rPr>
        <w:t>ozpočtového výhledu na roky 2017</w:t>
      </w:r>
      <w:r w:rsidRPr="00D70D7B">
        <w:rPr>
          <w:rFonts w:ascii="Arial" w:hAnsi="Arial" w:cs="Arial"/>
          <w:sz w:val="24"/>
        </w:rPr>
        <w:t xml:space="preserve"> – </w:t>
      </w:r>
      <w:r w:rsidRPr="00F73BE5">
        <w:rPr>
          <w:rFonts w:ascii="Arial" w:hAnsi="Arial" w:cs="Arial"/>
          <w:sz w:val="24"/>
        </w:rPr>
        <w:t>202</w:t>
      </w:r>
      <w:r w:rsidR="00D70D7B" w:rsidRPr="00F73BE5">
        <w:rPr>
          <w:rFonts w:ascii="Arial" w:hAnsi="Arial" w:cs="Arial"/>
          <w:sz w:val="24"/>
        </w:rPr>
        <w:t>1</w:t>
      </w:r>
      <w:r w:rsidRPr="00F73BE5">
        <w:rPr>
          <w:rFonts w:ascii="Arial" w:hAnsi="Arial" w:cs="Arial"/>
          <w:sz w:val="24"/>
        </w:rPr>
        <w:t xml:space="preserve"> byl zohledněn i meziroční</w:t>
      </w:r>
      <w:r w:rsidR="001A6D1B" w:rsidRPr="00F73BE5">
        <w:rPr>
          <w:rFonts w:ascii="Arial" w:hAnsi="Arial" w:cs="Arial"/>
          <w:sz w:val="24"/>
        </w:rPr>
        <w:t xml:space="preserve"> vývoj daňových příjmů mezi roky</w:t>
      </w:r>
      <w:r w:rsidRPr="00F73BE5">
        <w:rPr>
          <w:rFonts w:ascii="Arial" w:hAnsi="Arial" w:cs="Arial"/>
          <w:sz w:val="24"/>
        </w:rPr>
        <w:t xml:space="preserve"> 201</w:t>
      </w:r>
      <w:r w:rsidR="00D70D7B" w:rsidRPr="00F73BE5">
        <w:rPr>
          <w:rFonts w:ascii="Arial" w:hAnsi="Arial" w:cs="Arial"/>
          <w:sz w:val="24"/>
        </w:rPr>
        <w:t>5</w:t>
      </w:r>
      <w:r w:rsidRPr="00F73BE5">
        <w:rPr>
          <w:rFonts w:ascii="Arial" w:hAnsi="Arial" w:cs="Arial"/>
          <w:sz w:val="24"/>
        </w:rPr>
        <w:t xml:space="preserve"> a 201</w:t>
      </w:r>
      <w:r w:rsidR="00D70D7B" w:rsidRPr="00F73BE5">
        <w:rPr>
          <w:rFonts w:ascii="Arial" w:hAnsi="Arial" w:cs="Arial"/>
          <w:sz w:val="24"/>
        </w:rPr>
        <w:t>6</w:t>
      </w:r>
      <w:r w:rsidR="00F67FD1">
        <w:rPr>
          <w:rFonts w:ascii="Arial" w:hAnsi="Arial" w:cs="Arial"/>
          <w:sz w:val="24"/>
        </w:rPr>
        <w:t xml:space="preserve"> a aktuální informace k daňovým příjmům očekávaným v roce 2017 zveřejněným na stránkách JMK</w:t>
      </w:r>
      <w:r w:rsidR="00D70D7B" w:rsidRPr="00F73BE5">
        <w:rPr>
          <w:rFonts w:ascii="Arial" w:hAnsi="Arial" w:cs="Arial"/>
          <w:sz w:val="24"/>
        </w:rPr>
        <w:t xml:space="preserve">. </w:t>
      </w:r>
      <w:r w:rsidRPr="00F73BE5">
        <w:rPr>
          <w:rFonts w:ascii="Arial" w:hAnsi="Arial" w:cs="Arial"/>
          <w:sz w:val="24"/>
        </w:rPr>
        <w:t>Přehled vývoje daňových příjmů v</w:t>
      </w:r>
      <w:r w:rsidR="00F73BE5" w:rsidRPr="00F73BE5">
        <w:rPr>
          <w:rFonts w:ascii="Arial" w:hAnsi="Arial" w:cs="Arial"/>
          <w:sz w:val="24"/>
        </w:rPr>
        <w:t>e vybraných</w:t>
      </w:r>
      <w:r w:rsidRPr="00F73BE5">
        <w:rPr>
          <w:rFonts w:ascii="Arial" w:hAnsi="Arial" w:cs="Arial"/>
          <w:sz w:val="24"/>
        </w:rPr>
        <w:t xml:space="preserve"> měsících roku 201</w:t>
      </w:r>
      <w:r w:rsidR="00D70D7B" w:rsidRPr="00F73BE5">
        <w:rPr>
          <w:rFonts w:ascii="Arial" w:hAnsi="Arial" w:cs="Arial"/>
          <w:sz w:val="24"/>
        </w:rPr>
        <w:t>5 a 2016</w:t>
      </w:r>
      <w:r w:rsidRPr="00F73BE5">
        <w:rPr>
          <w:rFonts w:ascii="Arial" w:hAnsi="Arial" w:cs="Arial"/>
          <w:sz w:val="24"/>
        </w:rPr>
        <w:t xml:space="preserve"> je uveden v tabulce č. 1</w:t>
      </w:r>
    </w:p>
    <w:p w:rsidR="00E24994" w:rsidRPr="00F73BE5" w:rsidRDefault="00E51991" w:rsidP="00AD10F6">
      <w:pPr>
        <w:pStyle w:val="Podtitul"/>
        <w:rPr>
          <w:rStyle w:val="Zvraznn"/>
        </w:rPr>
      </w:pPr>
      <w:bookmarkStart w:id="8" w:name="_Toc465944077"/>
      <w:r w:rsidRPr="00F73BE5">
        <w:rPr>
          <w:rStyle w:val="Zvraznn"/>
        </w:rPr>
        <w:t>Tabulka č. 1: Meziroční vývoj daňových příjmů v lednu až</w:t>
      </w:r>
      <w:r w:rsidR="00307CC5" w:rsidRPr="00F73BE5">
        <w:rPr>
          <w:rStyle w:val="Zvraznn"/>
        </w:rPr>
        <w:t xml:space="preserve"> září</w:t>
      </w:r>
      <w:bookmarkEnd w:id="8"/>
    </w:p>
    <w:tbl>
      <w:tblPr>
        <w:tblW w:w="10376" w:type="dxa"/>
        <w:jc w:val="center"/>
        <w:tblInd w:w="-1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1134"/>
        <w:gridCol w:w="1134"/>
        <w:gridCol w:w="1134"/>
        <w:gridCol w:w="1134"/>
        <w:gridCol w:w="1134"/>
        <w:gridCol w:w="1159"/>
        <w:gridCol w:w="1194"/>
        <w:gridCol w:w="1134"/>
      </w:tblGrid>
      <w:tr w:rsidR="00F73BE5" w:rsidRPr="00F73BE5" w:rsidTr="00856BCC">
        <w:trPr>
          <w:trHeight w:val="300"/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E5" w:rsidRPr="00F73BE5" w:rsidRDefault="00F73BE5" w:rsidP="00F7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BE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E5" w:rsidRPr="00F73BE5" w:rsidRDefault="00F73BE5" w:rsidP="00F73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3BE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2015</w:t>
            </w:r>
          </w:p>
        </w:tc>
        <w:tc>
          <w:tcPr>
            <w:tcW w:w="462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3BE5" w:rsidRPr="00F73BE5" w:rsidRDefault="00F73BE5" w:rsidP="00F73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3BE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2016</w:t>
            </w:r>
          </w:p>
        </w:tc>
      </w:tr>
      <w:tr w:rsidR="00856BCC" w:rsidRPr="00F73BE5" w:rsidTr="00856BCC">
        <w:trPr>
          <w:trHeight w:val="300"/>
          <w:jc w:val="center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E5" w:rsidRPr="00F73BE5" w:rsidRDefault="00F73BE5" w:rsidP="00F7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BE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E5" w:rsidRPr="00F73BE5" w:rsidRDefault="00F73BE5" w:rsidP="00F7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BE5">
              <w:rPr>
                <w:rFonts w:ascii="Calibri" w:eastAsia="Times New Roman" w:hAnsi="Calibri" w:cs="Times New Roman"/>
                <w:color w:val="000000"/>
                <w:lang w:eastAsia="cs-CZ"/>
              </w:rPr>
              <w:t>leden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E5" w:rsidRPr="00F73BE5" w:rsidRDefault="00F73BE5" w:rsidP="00F7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BE5">
              <w:rPr>
                <w:rFonts w:ascii="Calibri" w:eastAsia="Times New Roman" w:hAnsi="Calibri" w:cs="Times New Roman"/>
                <w:color w:val="000000"/>
                <w:lang w:eastAsia="cs-CZ"/>
              </w:rPr>
              <w:t>březen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E5" w:rsidRPr="00F73BE5" w:rsidRDefault="00F73BE5" w:rsidP="00F7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BE5">
              <w:rPr>
                <w:rFonts w:ascii="Calibri" w:eastAsia="Times New Roman" w:hAnsi="Calibri" w:cs="Times New Roman"/>
                <w:color w:val="000000"/>
                <w:lang w:eastAsia="cs-CZ"/>
              </w:rPr>
              <w:t>červen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BE5" w:rsidRPr="00F73BE5" w:rsidRDefault="00F73BE5" w:rsidP="00F7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BE5">
              <w:rPr>
                <w:rFonts w:ascii="Calibri" w:eastAsia="Times New Roman" w:hAnsi="Calibri" w:cs="Times New Roman"/>
                <w:color w:val="000000"/>
                <w:lang w:eastAsia="cs-CZ"/>
              </w:rPr>
              <w:t>září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E5" w:rsidRPr="00F73BE5" w:rsidRDefault="00F73BE5" w:rsidP="00F7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BE5">
              <w:rPr>
                <w:rFonts w:ascii="Calibri" w:eastAsia="Times New Roman" w:hAnsi="Calibri" w:cs="Times New Roman"/>
                <w:color w:val="000000"/>
                <w:lang w:eastAsia="cs-CZ"/>
              </w:rPr>
              <w:t>leden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E5" w:rsidRPr="00F73BE5" w:rsidRDefault="00F73BE5" w:rsidP="00F7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BE5">
              <w:rPr>
                <w:rFonts w:ascii="Calibri" w:eastAsia="Times New Roman" w:hAnsi="Calibri" w:cs="Times New Roman"/>
                <w:color w:val="000000"/>
                <w:lang w:eastAsia="cs-CZ"/>
              </w:rPr>
              <w:t>březen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E5" w:rsidRPr="00F73BE5" w:rsidRDefault="00F73BE5" w:rsidP="00F7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BE5">
              <w:rPr>
                <w:rFonts w:ascii="Calibri" w:eastAsia="Times New Roman" w:hAnsi="Calibri" w:cs="Times New Roman"/>
                <w:color w:val="000000"/>
                <w:lang w:eastAsia="cs-CZ"/>
              </w:rPr>
              <w:t>červen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BE5" w:rsidRPr="00F73BE5" w:rsidRDefault="00F73BE5" w:rsidP="00F7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BE5">
              <w:rPr>
                <w:rFonts w:ascii="Calibri" w:eastAsia="Times New Roman" w:hAnsi="Calibri" w:cs="Times New Roman"/>
                <w:color w:val="000000"/>
                <w:lang w:eastAsia="cs-CZ"/>
              </w:rPr>
              <w:t>září</w:t>
            </w:r>
          </w:p>
        </w:tc>
      </w:tr>
      <w:tr w:rsidR="00856BCC" w:rsidRPr="00F73BE5" w:rsidTr="00856BCC">
        <w:trPr>
          <w:trHeight w:val="300"/>
          <w:jc w:val="center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E5" w:rsidRPr="00F73BE5" w:rsidRDefault="00F73BE5" w:rsidP="00F7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BE5">
              <w:rPr>
                <w:rFonts w:ascii="Calibri" w:eastAsia="Times New Roman" w:hAnsi="Calibri" w:cs="Times New Roman"/>
                <w:color w:val="000000"/>
                <w:lang w:eastAsia="cs-CZ"/>
              </w:rPr>
              <w:t>Daňové příjmy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E5" w:rsidRPr="00F73BE5" w:rsidRDefault="00F73BE5" w:rsidP="00F73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BE5">
              <w:rPr>
                <w:rFonts w:ascii="Calibri" w:eastAsia="Times New Roman" w:hAnsi="Calibri" w:cs="Times New Roman"/>
                <w:color w:val="000000"/>
                <w:lang w:eastAsia="cs-CZ"/>
              </w:rPr>
              <w:t>8 201 057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E5" w:rsidRPr="00F73BE5" w:rsidRDefault="00F73BE5" w:rsidP="00F73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BE5">
              <w:rPr>
                <w:rFonts w:ascii="Calibri" w:eastAsia="Times New Roman" w:hAnsi="Calibri" w:cs="Times New Roman"/>
                <w:color w:val="000000"/>
                <w:lang w:eastAsia="cs-CZ"/>
              </w:rPr>
              <w:t>8 026 949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E5" w:rsidRPr="00F73BE5" w:rsidRDefault="00F73BE5" w:rsidP="00F73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BE5">
              <w:rPr>
                <w:rFonts w:ascii="Calibri" w:eastAsia="Times New Roman" w:hAnsi="Calibri" w:cs="Times New Roman"/>
                <w:color w:val="000000"/>
                <w:lang w:eastAsia="cs-CZ"/>
              </w:rPr>
              <w:t>19 626 520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BE5" w:rsidRPr="00F73BE5" w:rsidRDefault="00F73BE5" w:rsidP="00F73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BE5">
              <w:rPr>
                <w:rFonts w:ascii="Calibri" w:eastAsia="Times New Roman" w:hAnsi="Calibri" w:cs="Times New Roman"/>
                <w:color w:val="000000"/>
                <w:lang w:eastAsia="cs-CZ"/>
              </w:rPr>
              <w:t>9 322 323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E5" w:rsidRPr="00F73BE5" w:rsidRDefault="00F73BE5" w:rsidP="00F73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BE5">
              <w:rPr>
                <w:rFonts w:ascii="Calibri" w:eastAsia="Times New Roman" w:hAnsi="Calibri" w:cs="Times New Roman"/>
                <w:color w:val="000000"/>
                <w:lang w:eastAsia="cs-CZ"/>
              </w:rPr>
              <w:t>7 386 360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E5" w:rsidRPr="00F73BE5" w:rsidRDefault="00F73BE5" w:rsidP="00F73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BE5">
              <w:rPr>
                <w:rFonts w:ascii="Calibri" w:eastAsia="Times New Roman" w:hAnsi="Calibri" w:cs="Times New Roman"/>
                <w:color w:val="000000"/>
                <w:lang w:eastAsia="cs-CZ"/>
              </w:rPr>
              <w:t>10 390 748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E5" w:rsidRPr="00F73BE5" w:rsidRDefault="00F73BE5" w:rsidP="00F73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BE5">
              <w:rPr>
                <w:rFonts w:ascii="Calibri" w:eastAsia="Times New Roman" w:hAnsi="Calibri" w:cs="Times New Roman"/>
                <w:color w:val="000000"/>
                <w:lang w:eastAsia="cs-CZ"/>
              </w:rPr>
              <w:t>17 665 372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BE5" w:rsidRPr="00F73BE5" w:rsidRDefault="00F73BE5" w:rsidP="00F73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BE5">
              <w:rPr>
                <w:rFonts w:ascii="Calibri" w:eastAsia="Times New Roman" w:hAnsi="Calibri" w:cs="Times New Roman"/>
                <w:color w:val="000000"/>
                <w:lang w:eastAsia="cs-CZ"/>
              </w:rPr>
              <w:t>9 324 037</w:t>
            </w:r>
          </w:p>
        </w:tc>
      </w:tr>
      <w:tr w:rsidR="00F73BE5" w:rsidRPr="00F73BE5" w:rsidTr="00856BCC">
        <w:trPr>
          <w:trHeight w:val="315"/>
          <w:jc w:val="center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E5" w:rsidRPr="00F73BE5" w:rsidRDefault="00F73BE5" w:rsidP="00F73B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3BE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E5" w:rsidRPr="00F73BE5" w:rsidRDefault="00F73BE5" w:rsidP="00F73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3BE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83 506 639</w:t>
            </w: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3BE5" w:rsidRPr="00F73BE5" w:rsidRDefault="00F73BE5" w:rsidP="00F73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3BE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85 565 301</w:t>
            </w:r>
          </w:p>
        </w:tc>
      </w:tr>
    </w:tbl>
    <w:p w:rsidR="00B64A9B" w:rsidRPr="00307CC5" w:rsidRDefault="00B64A9B" w:rsidP="001968F6">
      <w:pPr>
        <w:spacing w:before="200"/>
        <w:jc w:val="both"/>
        <w:rPr>
          <w:rFonts w:ascii="Arial" w:hAnsi="Arial" w:cs="Arial"/>
          <w:sz w:val="24"/>
        </w:rPr>
      </w:pPr>
      <w:r w:rsidRPr="00307CC5">
        <w:rPr>
          <w:rFonts w:ascii="Arial" w:hAnsi="Arial" w:cs="Arial"/>
          <w:sz w:val="24"/>
        </w:rPr>
        <w:t>Daňové příjmy zahrnují podíly na celostátním výnosu vybraných daní a správní poplatky, přičemž:</w:t>
      </w:r>
    </w:p>
    <w:p w:rsidR="00B64A9B" w:rsidRPr="00307CC5" w:rsidRDefault="00B64A9B" w:rsidP="00B64A9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307CC5">
        <w:rPr>
          <w:rFonts w:ascii="Arial" w:hAnsi="Arial" w:cs="Arial"/>
          <w:sz w:val="24"/>
        </w:rPr>
        <w:t>Správní poplatky</w:t>
      </w:r>
      <w:r w:rsidR="00FD322B" w:rsidRPr="00307CC5">
        <w:rPr>
          <w:rFonts w:ascii="Arial" w:hAnsi="Arial" w:cs="Arial"/>
          <w:sz w:val="24"/>
        </w:rPr>
        <w:t xml:space="preserve"> – nepředpokládá se žádná velká změna s dopadem do výše vybraných správních poplatků a tak se tvorba rozpočtového výhledu opírá o skutečnost let předchozích</w:t>
      </w:r>
    </w:p>
    <w:p w:rsidR="00B64A9B" w:rsidRPr="007A6674" w:rsidRDefault="00B64A9B" w:rsidP="00B64A9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307CC5">
        <w:rPr>
          <w:rFonts w:ascii="Arial" w:hAnsi="Arial" w:cs="Arial"/>
          <w:sz w:val="24"/>
        </w:rPr>
        <w:t>Daň z</w:t>
      </w:r>
      <w:r w:rsidR="002A5D4C" w:rsidRPr="00307CC5">
        <w:rPr>
          <w:rFonts w:ascii="Arial" w:hAnsi="Arial" w:cs="Arial"/>
          <w:sz w:val="24"/>
        </w:rPr>
        <w:t> </w:t>
      </w:r>
      <w:r w:rsidRPr="00307CC5">
        <w:rPr>
          <w:rFonts w:ascii="Arial" w:hAnsi="Arial" w:cs="Arial"/>
          <w:sz w:val="24"/>
        </w:rPr>
        <w:t>nemovitosti</w:t>
      </w:r>
      <w:r w:rsidR="002A5D4C" w:rsidRPr="00307CC5">
        <w:rPr>
          <w:rFonts w:ascii="Arial" w:hAnsi="Arial" w:cs="Arial"/>
          <w:sz w:val="24"/>
        </w:rPr>
        <w:t xml:space="preserve"> – daň z nemovitosti patří mezi výlučné daně obcí. </w:t>
      </w:r>
      <w:r w:rsidR="00795F9F">
        <w:rPr>
          <w:rFonts w:ascii="Arial" w:hAnsi="Arial" w:cs="Arial"/>
          <w:sz w:val="24"/>
        </w:rPr>
        <w:t>Snížení místního koeficientu má vliv na budoucí příjmy z této daně.</w:t>
      </w:r>
    </w:p>
    <w:p w:rsidR="00B64A9B" w:rsidRPr="007A6674" w:rsidRDefault="00B64A9B" w:rsidP="00B64A9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7A6674">
        <w:rPr>
          <w:rFonts w:ascii="Arial" w:hAnsi="Arial" w:cs="Arial"/>
          <w:sz w:val="24"/>
        </w:rPr>
        <w:t>Místní poplatky</w:t>
      </w:r>
      <w:r w:rsidR="002A5D4C" w:rsidRPr="007A6674">
        <w:rPr>
          <w:rFonts w:ascii="Arial" w:hAnsi="Arial" w:cs="Arial"/>
          <w:sz w:val="24"/>
        </w:rPr>
        <w:t xml:space="preserve"> – jedná se o poplatky stanovené místní vyhláškou. </w:t>
      </w:r>
    </w:p>
    <w:p w:rsidR="00B64A9B" w:rsidRPr="00793EF1" w:rsidRDefault="00B64A9B" w:rsidP="00B64A9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307CC5">
        <w:rPr>
          <w:rFonts w:ascii="Arial" w:hAnsi="Arial" w:cs="Arial"/>
          <w:sz w:val="24"/>
        </w:rPr>
        <w:t>Podíl na celostátním výnosu z</w:t>
      </w:r>
      <w:r w:rsidR="00FD322B" w:rsidRPr="00307CC5">
        <w:rPr>
          <w:rFonts w:ascii="Arial" w:hAnsi="Arial" w:cs="Arial"/>
          <w:sz w:val="24"/>
        </w:rPr>
        <w:t> </w:t>
      </w:r>
      <w:r w:rsidRPr="00307CC5">
        <w:rPr>
          <w:rFonts w:ascii="Arial" w:hAnsi="Arial" w:cs="Arial"/>
          <w:sz w:val="24"/>
        </w:rPr>
        <w:t>daní</w:t>
      </w:r>
      <w:r w:rsidR="00FD322B" w:rsidRPr="00307CC5">
        <w:rPr>
          <w:rFonts w:ascii="Arial" w:hAnsi="Arial" w:cs="Arial"/>
          <w:sz w:val="24"/>
        </w:rPr>
        <w:t xml:space="preserve"> – u sdílených daní, mezi které patří daň z příjmů právnických osob, DPH, daň z příjmů fyzických osob ze závislé činnosti, daň z příjmů fyzických osob ze SVČ a daň z příjmů fyzických osob vybírané srážkou</w:t>
      </w:r>
      <w:r w:rsidR="00F75EDA" w:rsidRPr="00307CC5">
        <w:rPr>
          <w:rFonts w:ascii="Arial" w:hAnsi="Arial" w:cs="Arial"/>
          <w:sz w:val="24"/>
        </w:rPr>
        <w:t xml:space="preserve"> není předpoklad výraznějších změn v daňových výnosech a bylo vycház</w:t>
      </w:r>
      <w:r w:rsidR="00307CC5">
        <w:rPr>
          <w:rFonts w:ascii="Arial" w:hAnsi="Arial" w:cs="Arial"/>
          <w:sz w:val="24"/>
        </w:rPr>
        <w:t xml:space="preserve">eno ze skutečnosti minulých let a predikce na rok 2017 zveřejněné </w:t>
      </w:r>
      <w:r w:rsidR="00307CC5" w:rsidRPr="00793EF1">
        <w:rPr>
          <w:rFonts w:ascii="Arial" w:hAnsi="Arial" w:cs="Arial"/>
          <w:sz w:val="24"/>
        </w:rPr>
        <w:t>na stránkách JMK.</w:t>
      </w:r>
      <w:r w:rsidR="00856BCC">
        <w:rPr>
          <w:rFonts w:ascii="Arial" w:hAnsi="Arial" w:cs="Arial"/>
          <w:sz w:val="24"/>
        </w:rPr>
        <w:t xml:space="preserve"> </w:t>
      </w:r>
      <w:r w:rsidR="00DD65A5">
        <w:rPr>
          <w:rFonts w:ascii="Arial" w:hAnsi="Arial" w:cs="Arial"/>
          <w:sz w:val="24"/>
        </w:rPr>
        <w:t>V rozpočtovém určení daní d</w:t>
      </w:r>
      <w:r w:rsidR="00856BCC">
        <w:rPr>
          <w:rFonts w:ascii="Arial" w:hAnsi="Arial" w:cs="Arial"/>
          <w:sz w:val="24"/>
        </w:rPr>
        <w:t xml:space="preserve">ošlo ke zrušení tzv. motivační složky daně z příjmů fyzických osob z přiznání. Toto nemělo výrazný dopad do daňových příjmů města Šlapanice. </w:t>
      </w:r>
    </w:p>
    <w:p w:rsidR="00C32C8F" w:rsidRPr="00793EF1" w:rsidRDefault="00C32C8F" w:rsidP="00C32C8F">
      <w:pPr>
        <w:pStyle w:val="Nadpis3"/>
        <w:numPr>
          <w:ilvl w:val="2"/>
          <w:numId w:val="1"/>
        </w:numPr>
        <w:ind w:left="426" w:hanging="426"/>
      </w:pPr>
      <w:bookmarkStart w:id="9" w:name="_Toc465944061"/>
      <w:r w:rsidRPr="00793EF1">
        <w:t>Nedaňové příjmy</w:t>
      </w:r>
      <w:bookmarkEnd w:id="9"/>
    </w:p>
    <w:p w:rsidR="0076732B" w:rsidRPr="00730883" w:rsidRDefault="00786D25" w:rsidP="00786D25">
      <w:pPr>
        <w:jc w:val="both"/>
        <w:rPr>
          <w:rFonts w:ascii="Arial" w:hAnsi="Arial" w:cs="Arial"/>
          <w:sz w:val="24"/>
        </w:rPr>
      </w:pPr>
      <w:r w:rsidRPr="00730883">
        <w:rPr>
          <w:rFonts w:ascii="Arial" w:hAnsi="Arial" w:cs="Arial"/>
          <w:sz w:val="24"/>
        </w:rPr>
        <w:t xml:space="preserve">Nedaňové příjmy vykazují dlouhodobě </w:t>
      </w:r>
      <w:r w:rsidR="002F1E70" w:rsidRPr="00730883">
        <w:rPr>
          <w:rFonts w:ascii="Arial" w:hAnsi="Arial" w:cs="Arial"/>
          <w:sz w:val="24"/>
        </w:rPr>
        <w:t>mírně rostoucí</w:t>
      </w:r>
      <w:r w:rsidRPr="00730883">
        <w:rPr>
          <w:rFonts w:ascii="Arial" w:hAnsi="Arial" w:cs="Arial"/>
          <w:sz w:val="24"/>
        </w:rPr>
        <w:t xml:space="preserve"> výš</w:t>
      </w:r>
      <w:r w:rsidR="00AE3E9C">
        <w:rPr>
          <w:rFonts w:ascii="Arial" w:hAnsi="Arial" w:cs="Arial"/>
          <w:sz w:val="24"/>
        </w:rPr>
        <w:t>i</w:t>
      </w:r>
      <w:r w:rsidRPr="00730883">
        <w:rPr>
          <w:rFonts w:ascii="Arial" w:hAnsi="Arial" w:cs="Arial"/>
          <w:sz w:val="24"/>
        </w:rPr>
        <w:t>, jak je vidět na grafu č.</w:t>
      </w:r>
      <w:r w:rsidR="001A6D1B" w:rsidRPr="00730883">
        <w:rPr>
          <w:rFonts w:ascii="Arial" w:hAnsi="Arial" w:cs="Arial"/>
          <w:sz w:val="24"/>
        </w:rPr>
        <w:t xml:space="preserve"> </w:t>
      </w:r>
      <w:r w:rsidR="0044334F" w:rsidRPr="00730883">
        <w:rPr>
          <w:rFonts w:ascii="Arial" w:hAnsi="Arial" w:cs="Arial"/>
          <w:sz w:val="24"/>
        </w:rPr>
        <w:t>4</w:t>
      </w:r>
      <w:r w:rsidRPr="00730883">
        <w:rPr>
          <w:rFonts w:ascii="Arial" w:hAnsi="Arial" w:cs="Arial"/>
          <w:sz w:val="24"/>
        </w:rPr>
        <w:t xml:space="preserve"> a v rozpočtovém výhledu není očekáván jiný vliv, než vliv inflace.</w:t>
      </w:r>
      <w:r w:rsidR="00730883" w:rsidRPr="00730883">
        <w:rPr>
          <w:rFonts w:ascii="Arial" w:hAnsi="Arial" w:cs="Arial"/>
          <w:sz w:val="24"/>
        </w:rPr>
        <w:t xml:space="preserve"> V roce 2016 a 2017 jsou nedaňové příjmy výrazně vyšší z důvodu výběru pokut v dopravě.</w:t>
      </w:r>
    </w:p>
    <w:p w:rsidR="0044334F" w:rsidRPr="00BF7D93" w:rsidRDefault="0044334F" w:rsidP="004E59E3">
      <w:pPr>
        <w:spacing w:after="0"/>
        <w:jc w:val="both"/>
        <w:rPr>
          <w:rFonts w:ascii="Arial" w:hAnsi="Arial" w:cs="Arial"/>
          <w:color w:val="FF0000"/>
        </w:rPr>
      </w:pPr>
    </w:p>
    <w:p w:rsidR="0044334F" w:rsidRPr="00BF7D93" w:rsidRDefault="0044334F">
      <w:pPr>
        <w:rPr>
          <w:rFonts w:ascii="Arial" w:hAnsi="Arial" w:cs="Arial"/>
          <w:color w:val="FF0000"/>
        </w:rPr>
      </w:pPr>
      <w:r w:rsidRPr="00BF7D93">
        <w:rPr>
          <w:rFonts w:ascii="Arial" w:hAnsi="Arial" w:cs="Arial"/>
          <w:color w:val="FF0000"/>
        </w:rPr>
        <w:br w:type="page"/>
      </w:r>
    </w:p>
    <w:p w:rsidR="004E48C3" w:rsidRPr="00182FBC" w:rsidRDefault="002F1E70" w:rsidP="000847B9">
      <w:pPr>
        <w:pStyle w:val="Podtitul"/>
        <w:rPr>
          <w:rFonts w:cs="Arial"/>
        </w:rPr>
      </w:pPr>
      <w:bookmarkStart w:id="10" w:name="_Toc465944078"/>
      <w:r w:rsidRPr="00182FBC">
        <w:lastRenderedPageBreak/>
        <w:t xml:space="preserve">Graf č. </w:t>
      </w:r>
      <w:r w:rsidR="0044334F" w:rsidRPr="00182FBC">
        <w:t>4</w:t>
      </w:r>
      <w:r w:rsidRPr="00182FBC">
        <w:t>: Neda</w:t>
      </w:r>
      <w:r w:rsidR="004E59E3" w:rsidRPr="00182FBC">
        <w:t>ňové příjmy 200</w:t>
      </w:r>
      <w:r w:rsidR="00182FBC" w:rsidRPr="00182FBC">
        <w:t>6</w:t>
      </w:r>
      <w:r w:rsidR="004E59E3" w:rsidRPr="00182FBC">
        <w:t xml:space="preserve"> </w:t>
      </w:r>
      <w:r w:rsidR="004E48C3" w:rsidRPr="00182FBC">
        <w:t>–</w:t>
      </w:r>
      <w:r w:rsidR="006A77D1" w:rsidRPr="00182FBC">
        <w:t xml:space="preserve"> 20</w:t>
      </w:r>
      <w:r w:rsidR="002B27B6" w:rsidRPr="00182FBC">
        <w:t>2</w:t>
      </w:r>
      <w:r w:rsidR="00182FBC" w:rsidRPr="00182FBC">
        <w:t>1</w:t>
      </w:r>
      <w:bookmarkEnd w:id="10"/>
    </w:p>
    <w:p w:rsidR="002F1E70" w:rsidRPr="00C75A23" w:rsidRDefault="00630D5C" w:rsidP="004E48C3">
      <w:pPr>
        <w:jc w:val="center"/>
        <w:rPr>
          <w:rFonts w:ascii="Arial" w:hAnsi="Arial" w:cs="Arial"/>
          <w:sz w:val="24"/>
        </w:rPr>
      </w:pPr>
      <w:r>
        <w:rPr>
          <w:noProof/>
          <w:lang w:eastAsia="cs-CZ"/>
        </w:rPr>
        <w:drawing>
          <wp:inline distT="0" distB="0" distL="0" distR="0" wp14:anchorId="18174122" wp14:editId="29045EB0">
            <wp:extent cx="4572000" cy="2743200"/>
            <wp:effectExtent l="0" t="0" r="19050" b="1905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32C8F" w:rsidRPr="00C75A23" w:rsidRDefault="00C32C8F" w:rsidP="00C32C8F">
      <w:pPr>
        <w:pStyle w:val="Nadpis3"/>
        <w:numPr>
          <w:ilvl w:val="2"/>
          <w:numId w:val="1"/>
        </w:numPr>
        <w:ind w:left="426" w:hanging="426"/>
      </w:pPr>
      <w:bookmarkStart w:id="11" w:name="_Toc465944062"/>
      <w:r w:rsidRPr="00C75A23">
        <w:t>Kapitálové příjmy</w:t>
      </w:r>
      <w:bookmarkEnd w:id="11"/>
    </w:p>
    <w:p w:rsidR="00E306A7" w:rsidRPr="004D4BF8" w:rsidRDefault="00E306A7" w:rsidP="00E306A7">
      <w:pPr>
        <w:spacing w:before="200"/>
        <w:jc w:val="both"/>
        <w:rPr>
          <w:rFonts w:ascii="Arial" w:hAnsi="Arial" w:cs="Arial"/>
          <w:sz w:val="24"/>
        </w:rPr>
      </w:pPr>
      <w:r w:rsidRPr="00C75A23">
        <w:rPr>
          <w:rFonts w:ascii="Arial" w:hAnsi="Arial" w:cs="Arial"/>
          <w:sz w:val="24"/>
        </w:rPr>
        <w:t>V minulých letech tvořily kapitálové příjmy nevýznamnou část rozpočtu, kdy se na</w:t>
      </w:r>
      <w:r w:rsidR="008C6686" w:rsidRPr="00C75A23">
        <w:rPr>
          <w:rFonts w:ascii="Arial" w:hAnsi="Arial" w:cs="Arial"/>
          <w:sz w:val="24"/>
        </w:rPr>
        <w:t xml:space="preserve"> celkových </w:t>
      </w:r>
      <w:r w:rsidR="008C6686" w:rsidRPr="004D4BF8">
        <w:rPr>
          <w:rFonts w:ascii="Arial" w:hAnsi="Arial" w:cs="Arial"/>
          <w:sz w:val="24"/>
        </w:rPr>
        <w:t>příjmech</w:t>
      </w:r>
      <w:r w:rsidR="003A0756" w:rsidRPr="004D4BF8">
        <w:rPr>
          <w:rFonts w:ascii="Arial" w:hAnsi="Arial" w:cs="Arial"/>
          <w:sz w:val="24"/>
        </w:rPr>
        <w:t xml:space="preserve"> v p</w:t>
      </w:r>
      <w:r w:rsidR="00812E0D">
        <w:rPr>
          <w:rFonts w:ascii="Arial" w:hAnsi="Arial" w:cs="Arial"/>
          <w:sz w:val="24"/>
        </w:rPr>
        <w:t>osledních pěti letech nepodílely</w:t>
      </w:r>
      <w:r w:rsidR="00AE3E9C">
        <w:rPr>
          <w:rFonts w:ascii="Arial" w:hAnsi="Arial" w:cs="Arial"/>
          <w:sz w:val="24"/>
        </w:rPr>
        <w:t xml:space="preserve"> více</w:t>
      </w:r>
      <w:r w:rsidR="003A0756" w:rsidRPr="004D4BF8">
        <w:rPr>
          <w:rFonts w:ascii="Arial" w:hAnsi="Arial" w:cs="Arial"/>
          <w:sz w:val="24"/>
        </w:rPr>
        <w:t xml:space="preserve"> než 1 </w:t>
      </w:r>
      <w:r w:rsidR="008C6686" w:rsidRPr="004D4BF8">
        <w:rPr>
          <w:rFonts w:ascii="Arial" w:hAnsi="Arial" w:cs="Arial"/>
          <w:sz w:val="24"/>
        </w:rPr>
        <w:t xml:space="preserve">% a ani v budoucnu není očekávána změna tohoto přínosu do rozpočtu města Šlapanice. Situaci by mohl výrazně změnit jen záměr prodávat </w:t>
      </w:r>
      <w:r w:rsidR="004D4BF8">
        <w:rPr>
          <w:rFonts w:ascii="Arial" w:hAnsi="Arial" w:cs="Arial"/>
          <w:sz w:val="24"/>
        </w:rPr>
        <w:t xml:space="preserve">rozsáhlejší </w:t>
      </w:r>
      <w:r w:rsidR="008C6686" w:rsidRPr="004D4BF8">
        <w:rPr>
          <w:rFonts w:ascii="Arial" w:hAnsi="Arial" w:cs="Arial"/>
          <w:sz w:val="24"/>
        </w:rPr>
        <w:t>pozemky města, s čímž momentálně není počítáno.</w:t>
      </w:r>
    </w:p>
    <w:p w:rsidR="00C32C8F" w:rsidRPr="007A6674" w:rsidRDefault="006E30B0" w:rsidP="00C32C8F">
      <w:pPr>
        <w:pStyle w:val="Nadpis3"/>
        <w:numPr>
          <w:ilvl w:val="2"/>
          <w:numId w:val="1"/>
        </w:numPr>
        <w:ind w:left="426" w:hanging="426"/>
      </w:pPr>
      <w:bookmarkStart w:id="12" w:name="_Toc465944063"/>
      <w:r w:rsidRPr="007A6674">
        <w:t>Pravidelné neinvestiční dotace</w:t>
      </w:r>
      <w:bookmarkEnd w:id="12"/>
    </w:p>
    <w:p w:rsidR="006E30B0" w:rsidRPr="007A6674" w:rsidRDefault="00CF7BC2" w:rsidP="006275B4">
      <w:pPr>
        <w:spacing w:before="240"/>
        <w:jc w:val="both"/>
      </w:pPr>
      <w:r w:rsidRPr="007A6674">
        <w:rPr>
          <w:rFonts w:ascii="Arial" w:hAnsi="Arial" w:cs="Arial"/>
          <w:sz w:val="24"/>
        </w:rPr>
        <w:t>Do rozpočtového výhledu je zahrnuta dotace v rámci souhrnného dotačního vztahu státní</w:t>
      </w:r>
      <w:r w:rsidR="00F26D95" w:rsidRPr="007A6674">
        <w:rPr>
          <w:rFonts w:ascii="Arial" w:hAnsi="Arial" w:cs="Arial"/>
          <w:sz w:val="24"/>
        </w:rPr>
        <w:t>ho rozpočtu k rozpočtu obce</w:t>
      </w:r>
      <w:r w:rsidRPr="007A6674">
        <w:rPr>
          <w:rFonts w:ascii="Arial" w:hAnsi="Arial" w:cs="Arial"/>
          <w:sz w:val="24"/>
        </w:rPr>
        <w:t xml:space="preserve"> na základě zákona o státním rozpočtu.</w:t>
      </w:r>
      <w:r w:rsidR="004E48C3" w:rsidRPr="007A6674">
        <w:rPr>
          <w:rFonts w:ascii="Arial" w:hAnsi="Arial" w:cs="Arial"/>
          <w:sz w:val="24"/>
        </w:rPr>
        <w:t xml:space="preserve"> Příjem z tohoto zdroje v předchozích letech ukazuje graf č.</w:t>
      </w:r>
      <w:r w:rsidR="006E30B0" w:rsidRPr="007A6674">
        <w:rPr>
          <w:rFonts w:ascii="Arial" w:hAnsi="Arial" w:cs="Arial"/>
          <w:sz w:val="24"/>
        </w:rPr>
        <w:t xml:space="preserve"> </w:t>
      </w:r>
      <w:r w:rsidR="009D26E4" w:rsidRPr="007A6674">
        <w:rPr>
          <w:rFonts w:ascii="Arial" w:hAnsi="Arial" w:cs="Arial"/>
          <w:sz w:val="24"/>
        </w:rPr>
        <w:t>2</w:t>
      </w:r>
      <w:r w:rsidR="006E30B0" w:rsidRPr="007A6674">
        <w:rPr>
          <w:rFonts w:ascii="Arial" w:hAnsi="Arial" w:cs="Arial"/>
          <w:sz w:val="24"/>
        </w:rPr>
        <w:t xml:space="preserve">. </w:t>
      </w:r>
      <w:r w:rsidR="009D26E4" w:rsidRPr="007A6674">
        <w:rPr>
          <w:rFonts w:ascii="Arial" w:hAnsi="Arial" w:cs="Arial"/>
          <w:sz w:val="24"/>
        </w:rPr>
        <w:t>Kromě souhrnného</w:t>
      </w:r>
      <w:r w:rsidR="006E30B0" w:rsidRPr="007A6674">
        <w:rPr>
          <w:rFonts w:ascii="Arial" w:hAnsi="Arial" w:cs="Arial"/>
          <w:sz w:val="24"/>
        </w:rPr>
        <w:t xml:space="preserve"> dotační</w:t>
      </w:r>
      <w:r w:rsidR="009D26E4" w:rsidRPr="007A6674">
        <w:rPr>
          <w:rFonts w:ascii="Arial" w:hAnsi="Arial" w:cs="Arial"/>
          <w:sz w:val="24"/>
        </w:rPr>
        <w:t>ho</w:t>
      </w:r>
      <w:r w:rsidR="006E30B0" w:rsidRPr="007A6674">
        <w:rPr>
          <w:rFonts w:ascii="Arial" w:hAnsi="Arial" w:cs="Arial"/>
          <w:sz w:val="24"/>
        </w:rPr>
        <w:t xml:space="preserve"> vztah</w:t>
      </w:r>
      <w:r w:rsidR="009D26E4" w:rsidRPr="007A6674">
        <w:rPr>
          <w:rFonts w:ascii="Arial" w:hAnsi="Arial" w:cs="Arial"/>
          <w:sz w:val="24"/>
        </w:rPr>
        <w:t>u</w:t>
      </w:r>
      <w:r w:rsidR="006E30B0" w:rsidRPr="007A6674">
        <w:rPr>
          <w:rFonts w:ascii="Arial" w:hAnsi="Arial" w:cs="Arial"/>
          <w:sz w:val="24"/>
        </w:rPr>
        <w:t xml:space="preserve"> je pravidelně se opakující dotací dotace na sociálně právní ochranu dětí</w:t>
      </w:r>
      <w:r w:rsidR="00474CC3">
        <w:rPr>
          <w:rFonts w:ascii="Arial" w:hAnsi="Arial" w:cs="Arial"/>
          <w:sz w:val="24"/>
        </w:rPr>
        <w:t xml:space="preserve"> a pečovatelskou službu</w:t>
      </w:r>
      <w:r w:rsidR="006E30B0" w:rsidRPr="007A6674">
        <w:rPr>
          <w:rFonts w:ascii="Arial" w:hAnsi="Arial" w:cs="Arial"/>
          <w:sz w:val="24"/>
        </w:rPr>
        <w:t xml:space="preserve">. </w:t>
      </w:r>
      <w:r w:rsidR="007A6674" w:rsidRPr="007A6674">
        <w:rPr>
          <w:rFonts w:ascii="Arial" w:hAnsi="Arial" w:cs="Arial"/>
          <w:sz w:val="24"/>
        </w:rPr>
        <w:t>V roce 2017 je obsažena také dotace na provoz dětské skupiny Školička Sokolík.</w:t>
      </w:r>
    </w:p>
    <w:p w:rsidR="00252F3D" w:rsidRPr="00BF7D93" w:rsidRDefault="00252F3D">
      <w:pPr>
        <w:rPr>
          <w:rFonts w:ascii="Arial" w:eastAsiaTheme="majorEastAsia" w:hAnsi="Arial" w:cstheme="majorBidi"/>
          <w:b/>
          <w:bCs/>
          <w:color w:val="FF0000"/>
          <w:sz w:val="28"/>
          <w:szCs w:val="28"/>
        </w:rPr>
      </w:pPr>
      <w:r w:rsidRPr="00BF7D93">
        <w:rPr>
          <w:color w:val="FF0000"/>
        </w:rPr>
        <w:br w:type="page"/>
      </w:r>
    </w:p>
    <w:p w:rsidR="00F21959" w:rsidRPr="00C47416" w:rsidRDefault="00F21959" w:rsidP="00F21959">
      <w:pPr>
        <w:pStyle w:val="Nadpis1"/>
        <w:numPr>
          <w:ilvl w:val="0"/>
          <w:numId w:val="1"/>
        </w:numPr>
        <w:ind w:left="284" w:hanging="284"/>
      </w:pPr>
      <w:bookmarkStart w:id="13" w:name="_Toc465944064"/>
      <w:r w:rsidRPr="00C47416">
        <w:lastRenderedPageBreak/>
        <w:t>VÝDAJE</w:t>
      </w:r>
      <w:bookmarkEnd w:id="13"/>
    </w:p>
    <w:p w:rsidR="008865C2" w:rsidRPr="00C47416" w:rsidRDefault="008865C2" w:rsidP="00911585">
      <w:pPr>
        <w:spacing w:before="240" w:after="240"/>
        <w:jc w:val="both"/>
      </w:pPr>
      <w:r w:rsidRPr="00C47416">
        <w:rPr>
          <w:rFonts w:ascii="Arial" w:hAnsi="Arial" w:cs="Arial"/>
          <w:sz w:val="24"/>
        </w:rPr>
        <w:t xml:space="preserve">Rozpočtový výhled </w:t>
      </w:r>
      <w:r w:rsidR="006275B4" w:rsidRPr="00C47416">
        <w:rPr>
          <w:rFonts w:ascii="Arial" w:hAnsi="Arial" w:cs="Arial"/>
          <w:sz w:val="24"/>
        </w:rPr>
        <w:t>výdajů</w:t>
      </w:r>
      <w:r w:rsidRPr="00C47416">
        <w:rPr>
          <w:rFonts w:ascii="Arial" w:hAnsi="Arial" w:cs="Arial"/>
          <w:sz w:val="24"/>
        </w:rPr>
        <w:t xml:space="preserve"> města Šlapanice na období 201</w:t>
      </w:r>
      <w:r w:rsidR="00C47416" w:rsidRPr="00C47416">
        <w:rPr>
          <w:rFonts w:ascii="Arial" w:hAnsi="Arial" w:cs="Arial"/>
          <w:sz w:val="24"/>
        </w:rPr>
        <w:t>7 – 2021</w:t>
      </w:r>
      <w:r w:rsidRPr="00C47416">
        <w:rPr>
          <w:rFonts w:ascii="Arial" w:hAnsi="Arial" w:cs="Arial"/>
          <w:sz w:val="24"/>
        </w:rPr>
        <w:t xml:space="preserve"> a přehled </w:t>
      </w:r>
      <w:r w:rsidR="006275B4" w:rsidRPr="00C47416">
        <w:rPr>
          <w:rFonts w:ascii="Arial" w:hAnsi="Arial" w:cs="Arial"/>
          <w:sz w:val="24"/>
        </w:rPr>
        <w:t>realizovaných</w:t>
      </w:r>
      <w:r w:rsidRPr="00C47416">
        <w:rPr>
          <w:rFonts w:ascii="Arial" w:hAnsi="Arial" w:cs="Arial"/>
          <w:sz w:val="24"/>
        </w:rPr>
        <w:t xml:space="preserve"> (resp. očekávaných) </w:t>
      </w:r>
      <w:r w:rsidR="006275B4" w:rsidRPr="00C47416">
        <w:rPr>
          <w:rFonts w:ascii="Arial" w:hAnsi="Arial" w:cs="Arial"/>
          <w:sz w:val="24"/>
        </w:rPr>
        <w:t>výdajů</w:t>
      </w:r>
      <w:r w:rsidR="0079385F">
        <w:rPr>
          <w:rFonts w:ascii="Arial" w:hAnsi="Arial" w:cs="Arial"/>
          <w:sz w:val="24"/>
        </w:rPr>
        <w:t xml:space="preserve"> v období 2015</w:t>
      </w:r>
      <w:r w:rsidR="006275B4" w:rsidRPr="00C47416">
        <w:rPr>
          <w:rFonts w:ascii="Arial" w:hAnsi="Arial" w:cs="Arial"/>
          <w:sz w:val="24"/>
        </w:rPr>
        <w:t xml:space="preserve"> – 201</w:t>
      </w:r>
      <w:r w:rsidR="00C47416" w:rsidRPr="00C47416">
        <w:rPr>
          <w:rFonts w:ascii="Arial" w:hAnsi="Arial" w:cs="Arial"/>
          <w:sz w:val="24"/>
        </w:rPr>
        <w:t>6</w:t>
      </w:r>
      <w:r w:rsidR="0079385F">
        <w:rPr>
          <w:rFonts w:ascii="Arial" w:hAnsi="Arial" w:cs="Arial"/>
          <w:sz w:val="24"/>
        </w:rPr>
        <w:t xml:space="preserve"> je uveden v tabulce č. 6</w:t>
      </w:r>
      <w:r w:rsidR="006275B4" w:rsidRPr="00C47416">
        <w:rPr>
          <w:rFonts w:ascii="Arial" w:hAnsi="Arial" w:cs="Arial"/>
          <w:sz w:val="24"/>
        </w:rPr>
        <w:t>.</w:t>
      </w:r>
    </w:p>
    <w:p w:rsidR="008865C2" w:rsidRPr="00554827" w:rsidRDefault="008865C2" w:rsidP="008865C2">
      <w:pPr>
        <w:pStyle w:val="Nadpis2"/>
        <w:numPr>
          <w:ilvl w:val="1"/>
          <w:numId w:val="1"/>
        </w:numPr>
        <w:ind w:left="284" w:hanging="284"/>
        <w:rPr>
          <w:rFonts w:cs="Arial"/>
        </w:rPr>
      </w:pPr>
      <w:bookmarkStart w:id="14" w:name="_Toc465944065"/>
      <w:r w:rsidRPr="00554827">
        <w:rPr>
          <w:rFonts w:cs="Arial"/>
        </w:rPr>
        <w:t>Vývoj v období let 200</w:t>
      </w:r>
      <w:r w:rsidR="00554827" w:rsidRPr="00554827">
        <w:rPr>
          <w:rFonts w:cs="Arial"/>
        </w:rPr>
        <w:t>6</w:t>
      </w:r>
      <w:r w:rsidRPr="00554827">
        <w:rPr>
          <w:rFonts w:cs="Arial"/>
        </w:rPr>
        <w:t xml:space="preserve"> – 201</w:t>
      </w:r>
      <w:r w:rsidR="00554827" w:rsidRPr="00554827">
        <w:rPr>
          <w:rFonts w:cs="Arial"/>
        </w:rPr>
        <w:t>6</w:t>
      </w:r>
      <w:bookmarkEnd w:id="14"/>
    </w:p>
    <w:p w:rsidR="008865C2" w:rsidRPr="00554827" w:rsidRDefault="00911585" w:rsidP="006275B4">
      <w:pPr>
        <w:spacing w:before="240"/>
        <w:jc w:val="both"/>
        <w:rPr>
          <w:rFonts w:ascii="Arial" w:hAnsi="Arial" w:cs="Arial"/>
          <w:sz w:val="24"/>
        </w:rPr>
      </w:pPr>
      <w:r w:rsidRPr="00554827">
        <w:rPr>
          <w:rFonts w:ascii="Arial" w:hAnsi="Arial" w:cs="Arial"/>
          <w:sz w:val="24"/>
        </w:rPr>
        <w:t>Výdaje obce</w:t>
      </w:r>
      <w:r w:rsidR="008865C2" w:rsidRPr="00554827">
        <w:rPr>
          <w:rFonts w:ascii="Arial" w:hAnsi="Arial" w:cs="Arial"/>
          <w:sz w:val="24"/>
        </w:rPr>
        <w:t xml:space="preserve"> jsou tvořeny běžnými výdaji a výdaji</w:t>
      </w:r>
      <w:r w:rsidRPr="00554827">
        <w:rPr>
          <w:rFonts w:ascii="Arial" w:hAnsi="Arial" w:cs="Arial"/>
          <w:sz w:val="24"/>
        </w:rPr>
        <w:t xml:space="preserve"> kapitálovými. Vývoj výdajů města Šlapanice po</w:t>
      </w:r>
      <w:r w:rsidR="008865C2" w:rsidRPr="00554827">
        <w:rPr>
          <w:rFonts w:ascii="Arial" w:hAnsi="Arial" w:cs="Arial"/>
          <w:sz w:val="24"/>
        </w:rPr>
        <w:t>dle skuteč</w:t>
      </w:r>
      <w:r w:rsidR="00554827" w:rsidRPr="00554827">
        <w:rPr>
          <w:rFonts w:ascii="Arial" w:hAnsi="Arial" w:cs="Arial"/>
          <w:sz w:val="24"/>
        </w:rPr>
        <w:t>nosti dosažené v období let 2006</w:t>
      </w:r>
      <w:r w:rsidR="008865C2" w:rsidRPr="00554827">
        <w:rPr>
          <w:rFonts w:ascii="Arial" w:hAnsi="Arial" w:cs="Arial"/>
          <w:sz w:val="24"/>
        </w:rPr>
        <w:t xml:space="preserve"> až 201</w:t>
      </w:r>
      <w:r w:rsidR="00554827" w:rsidRPr="00554827">
        <w:rPr>
          <w:rFonts w:ascii="Arial" w:hAnsi="Arial" w:cs="Arial"/>
          <w:sz w:val="24"/>
        </w:rPr>
        <w:t>5</w:t>
      </w:r>
      <w:r w:rsidR="008865C2" w:rsidRPr="00554827">
        <w:rPr>
          <w:rFonts w:ascii="Arial" w:hAnsi="Arial" w:cs="Arial"/>
          <w:sz w:val="24"/>
        </w:rPr>
        <w:t xml:space="preserve"> a očekávaná skutečnost roku 201</w:t>
      </w:r>
      <w:r w:rsidR="00554827" w:rsidRPr="00554827">
        <w:rPr>
          <w:rFonts w:ascii="Arial" w:hAnsi="Arial" w:cs="Arial"/>
          <w:sz w:val="24"/>
        </w:rPr>
        <w:t>6</w:t>
      </w:r>
      <w:r w:rsidR="008865C2" w:rsidRPr="00554827">
        <w:rPr>
          <w:rFonts w:ascii="Arial" w:hAnsi="Arial" w:cs="Arial"/>
          <w:sz w:val="24"/>
        </w:rPr>
        <w:t xml:space="preserve"> jsou znázorněny v grafu</w:t>
      </w:r>
      <w:r w:rsidR="006275B4" w:rsidRPr="00554827">
        <w:rPr>
          <w:rFonts w:ascii="Arial" w:hAnsi="Arial" w:cs="Arial"/>
          <w:sz w:val="24"/>
        </w:rPr>
        <w:t xml:space="preserve"> č. </w:t>
      </w:r>
      <w:r w:rsidR="0044334F" w:rsidRPr="00554827">
        <w:rPr>
          <w:rFonts w:ascii="Arial" w:hAnsi="Arial" w:cs="Arial"/>
          <w:sz w:val="24"/>
        </w:rPr>
        <w:t>5</w:t>
      </w:r>
      <w:r w:rsidR="008865C2" w:rsidRPr="00554827">
        <w:rPr>
          <w:rFonts w:ascii="Arial" w:hAnsi="Arial" w:cs="Arial"/>
          <w:sz w:val="24"/>
        </w:rPr>
        <w:t>.</w:t>
      </w:r>
    </w:p>
    <w:p w:rsidR="009463B3" w:rsidRPr="00F90214" w:rsidRDefault="008865C2" w:rsidP="000847B9">
      <w:pPr>
        <w:pStyle w:val="Podtitul"/>
      </w:pPr>
      <w:bookmarkStart w:id="15" w:name="_Toc465944079"/>
      <w:r w:rsidRPr="00F90214">
        <w:t xml:space="preserve">Graf č. </w:t>
      </w:r>
      <w:r w:rsidR="0044334F" w:rsidRPr="00F90214">
        <w:t>5</w:t>
      </w:r>
      <w:r w:rsidRPr="00F90214">
        <w:t>: Výda</w:t>
      </w:r>
      <w:r w:rsidR="00EE4E54" w:rsidRPr="00F90214">
        <w:t>je města Šlapanice v letech 2006</w:t>
      </w:r>
      <w:r w:rsidRPr="00F90214">
        <w:t xml:space="preserve"> - 201</w:t>
      </w:r>
      <w:r w:rsidR="00EE4E54" w:rsidRPr="00F90214">
        <w:t>6</w:t>
      </w:r>
      <w:bookmarkEnd w:id="15"/>
    </w:p>
    <w:p w:rsidR="009463B3" w:rsidRPr="00BF7D93" w:rsidRDefault="00F90214" w:rsidP="009463B3">
      <w:pPr>
        <w:jc w:val="center"/>
        <w:rPr>
          <w:color w:val="FF0000"/>
        </w:rPr>
      </w:pPr>
      <w:r>
        <w:rPr>
          <w:noProof/>
          <w:lang w:eastAsia="cs-CZ"/>
        </w:rPr>
        <w:drawing>
          <wp:inline distT="0" distB="0" distL="0" distR="0" wp14:anchorId="6081EF72" wp14:editId="6C637836">
            <wp:extent cx="4572000" cy="2743200"/>
            <wp:effectExtent l="0" t="0" r="19050" b="1905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2566E" w:rsidRPr="008311B5" w:rsidRDefault="00B349DA" w:rsidP="00B349DA">
      <w:pPr>
        <w:jc w:val="both"/>
        <w:rPr>
          <w:rFonts w:ascii="Arial" w:hAnsi="Arial" w:cs="Arial"/>
          <w:sz w:val="24"/>
        </w:rPr>
      </w:pPr>
      <w:r w:rsidRPr="008311B5">
        <w:rPr>
          <w:rFonts w:ascii="Arial" w:hAnsi="Arial" w:cs="Arial"/>
          <w:sz w:val="24"/>
        </w:rPr>
        <w:t>Jak již bylo zmíněno dříve, výrazné snížení výdajů mezi roky 2011 a 2012 je způsobeno zrušením vyplácení sociálních dávek prostřednictvím obcí. Nárůst výdajů v roce 2014</w:t>
      </w:r>
      <w:r w:rsidR="008311B5" w:rsidRPr="008311B5">
        <w:rPr>
          <w:rFonts w:ascii="Arial" w:hAnsi="Arial" w:cs="Arial"/>
          <w:sz w:val="24"/>
        </w:rPr>
        <w:t>,</w:t>
      </w:r>
      <w:r w:rsidRPr="008311B5">
        <w:rPr>
          <w:rFonts w:ascii="Arial" w:hAnsi="Arial" w:cs="Arial"/>
          <w:sz w:val="24"/>
        </w:rPr>
        <w:t xml:space="preserve"> 2015</w:t>
      </w:r>
      <w:r w:rsidR="008311B5" w:rsidRPr="008311B5">
        <w:rPr>
          <w:rFonts w:ascii="Arial" w:hAnsi="Arial" w:cs="Arial"/>
          <w:sz w:val="24"/>
        </w:rPr>
        <w:t xml:space="preserve"> a 2016</w:t>
      </w:r>
      <w:r w:rsidRPr="008311B5">
        <w:rPr>
          <w:rFonts w:ascii="Arial" w:hAnsi="Arial" w:cs="Arial"/>
          <w:sz w:val="24"/>
        </w:rPr>
        <w:t xml:space="preserve"> je způsoben, jak je vidět i v grafickém znázornění velkým podílem kapitálových výdajů. Kapitálové výdaj</w:t>
      </w:r>
      <w:r w:rsidR="00812E0D">
        <w:rPr>
          <w:rFonts w:ascii="Arial" w:hAnsi="Arial" w:cs="Arial"/>
          <w:sz w:val="24"/>
        </w:rPr>
        <w:t>e</w:t>
      </w:r>
      <w:r w:rsidRPr="008311B5">
        <w:rPr>
          <w:rFonts w:ascii="Arial" w:hAnsi="Arial" w:cs="Arial"/>
          <w:sz w:val="24"/>
        </w:rPr>
        <w:t xml:space="preserve"> činil</w:t>
      </w:r>
      <w:r w:rsidR="00812E0D">
        <w:rPr>
          <w:rFonts w:ascii="Arial" w:hAnsi="Arial" w:cs="Arial"/>
          <w:sz w:val="24"/>
        </w:rPr>
        <w:t>y</w:t>
      </w:r>
      <w:r w:rsidRPr="008311B5">
        <w:rPr>
          <w:rFonts w:ascii="Arial" w:hAnsi="Arial" w:cs="Arial"/>
          <w:sz w:val="24"/>
        </w:rPr>
        <w:t xml:space="preserve"> v roce 2014 dokonce 56 % celkových výdajů. Tento vysoký podíl a nárůst kapitálových výdajů byl pokryt bankovním úvěrem a přijatými účelovými dotacemi. </w:t>
      </w:r>
      <w:r w:rsidR="008311B5" w:rsidRPr="008311B5">
        <w:rPr>
          <w:rFonts w:ascii="Arial" w:hAnsi="Arial" w:cs="Arial"/>
          <w:sz w:val="24"/>
        </w:rPr>
        <w:t xml:space="preserve">V roce 2015 byl podíl kapitálových výdajů 29 % a byly částečně hrazeny z prostředků minulých let. </w:t>
      </w:r>
      <w:r w:rsidRPr="008311B5">
        <w:rPr>
          <w:rFonts w:ascii="Arial" w:hAnsi="Arial" w:cs="Arial"/>
          <w:sz w:val="24"/>
        </w:rPr>
        <w:t>Naopak nejnižší byl podíl kapitálových výdajů v roce 2011 a to pouhých 8 %. Jinak se v průběhu let pohyboval podíl kapitálových výdajů okolo 11-20 %.</w:t>
      </w:r>
      <w:r w:rsidR="00A97491" w:rsidRPr="008311B5">
        <w:rPr>
          <w:rFonts w:ascii="Arial" w:hAnsi="Arial" w:cs="Arial"/>
          <w:sz w:val="24"/>
        </w:rPr>
        <w:t xml:space="preserve"> I nárůst běž</w:t>
      </w:r>
      <w:r w:rsidR="008311B5" w:rsidRPr="008311B5">
        <w:rPr>
          <w:rFonts w:ascii="Arial" w:hAnsi="Arial" w:cs="Arial"/>
          <w:sz w:val="24"/>
        </w:rPr>
        <w:t>ných výdajů v letech 2014 až 2016</w:t>
      </w:r>
      <w:r w:rsidR="00A97491" w:rsidRPr="008311B5">
        <w:rPr>
          <w:rFonts w:ascii="Arial" w:hAnsi="Arial" w:cs="Arial"/>
          <w:sz w:val="24"/>
        </w:rPr>
        <w:t xml:space="preserve"> je částečně kryt účelovými přijatými dotacemi z fondů EU.</w:t>
      </w:r>
    </w:p>
    <w:p w:rsidR="00ED397E" w:rsidRPr="001147A7" w:rsidRDefault="001147A7" w:rsidP="00ED397E">
      <w:pPr>
        <w:pStyle w:val="Nadpis2"/>
        <w:numPr>
          <w:ilvl w:val="1"/>
          <w:numId w:val="1"/>
        </w:numPr>
        <w:spacing w:before="240"/>
        <w:ind w:left="284" w:hanging="284"/>
        <w:rPr>
          <w:rFonts w:cs="Arial"/>
        </w:rPr>
      </w:pPr>
      <w:bookmarkStart w:id="16" w:name="_Toc465944066"/>
      <w:r w:rsidRPr="001147A7">
        <w:rPr>
          <w:rFonts w:cs="Arial"/>
        </w:rPr>
        <w:t>Výhled na období 2017</w:t>
      </w:r>
      <w:r w:rsidR="00ED397E" w:rsidRPr="001147A7">
        <w:rPr>
          <w:rFonts w:cs="Arial"/>
        </w:rPr>
        <w:t xml:space="preserve"> – 202</w:t>
      </w:r>
      <w:r w:rsidRPr="001147A7">
        <w:rPr>
          <w:rFonts w:cs="Arial"/>
        </w:rPr>
        <w:t>1</w:t>
      </w:r>
      <w:bookmarkEnd w:id="16"/>
    </w:p>
    <w:p w:rsidR="00911585" w:rsidRPr="001147A7" w:rsidRDefault="00911585" w:rsidP="00785E58">
      <w:pPr>
        <w:spacing w:before="240" w:after="120"/>
        <w:jc w:val="both"/>
      </w:pPr>
      <w:r w:rsidRPr="001147A7">
        <w:rPr>
          <w:rFonts w:ascii="Arial" w:hAnsi="Arial" w:cs="Arial"/>
          <w:sz w:val="24"/>
        </w:rPr>
        <w:t>Celkové běžné výdaje byly stanoveny</w:t>
      </w:r>
      <w:r w:rsidR="00CA459B" w:rsidRPr="001147A7">
        <w:rPr>
          <w:rFonts w:ascii="Arial" w:hAnsi="Arial" w:cs="Arial"/>
          <w:sz w:val="24"/>
        </w:rPr>
        <w:t xml:space="preserve"> na základě dlouhodobého vývoje běžných výdajů, na základě</w:t>
      </w:r>
      <w:r w:rsidR="001147A7" w:rsidRPr="001147A7">
        <w:rPr>
          <w:rFonts w:ascii="Arial" w:hAnsi="Arial" w:cs="Arial"/>
          <w:sz w:val="24"/>
        </w:rPr>
        <w:t xml:space="preserve"> očekávané skutečnosti roku 2016</w:t>
      </w:r>
      <w:r w:rsidR="00CA459B" w:rsidRPr="001147A7">
        <w:rPr>
          <w:rFonts w:ascii="Arial" w:hAnsi="Arial" w:cs="Arial"/>
          <w:sz w:val="24"/>
        </w:rPr>
        <w:t xml:space="preserve"> a s přihlédnutím k očekávané </w:t>
      </w:r>
      <w:r w:rsidR="00CA459B" w:rsidRPr="001147A7">
        <w:rPr>
          <w:rFonts w:ascii="Arial" w:hAnsi="Arial" w:cs="Arial"/>
          <w:sz w:val="24"/>
        </w:rPr>
        <w:lastRenderedPageBreak/>
        <w:t>inflaci podle predikce MF ČR. Stanovení kapitálových výdajů je popsáno v samostatné části.</w:t>
      </w:r>
    </w:p>
    <w:p w:rsidR="00AE3730" w:rsidRPr="007751DD" w:rsidRDefault="00AE3730" w:rsidP="00805048">
      <w:pPr>
        <w:pStyle w:val="Nadpis3"/>
        <w:numPr>
          <w:ilvl w:val="2"/>
          <w:numId w:val="1"/>
        </w:numPr>
        <w:spacing w:before="240"/>
        <w:ind w:left="709" w:hanging="709"/>
      </w:pPr>
      <w:bookmarkStart w:id="17" w:name="_Toc465944067"/>
      <w:r w:rsidRPr="007751DD">
        <w:t xml:space="preserve">Výdaje na zabezpečení činnosti </w:t>
      </w:r>
      <w:proofErr w:type="spellStart"/>
      <w:r w:rsidRPr="007751DD">
        <w:t>MěÚ</w:t>
      </w:r>
      <w:proofErr w:type="spellEnd"/>
      <w:r w:rsidRPr="007751DD">
        <w:t xml:space="preserve"> a příspěvky na provoz příspěvkovým organizacím</w:t>
      </w:r>
      <w:bookmarkEnd w:id="17"/>
    </w:p>
    <w:p w:rsidR="00194F16" w:rsidRPr="007751DD" w:rsidRDefault="00805048" w:rsidP="00194F16">
      <w:pPr>
        <w:spacing w:before="200" w:after="0"/>
        <w:jc w:val="both"/>
        <w:rPr>
          <w:rFonts w:ascii="Arial" w:hAnsi="Arial" w:cs="Arial"/>
          <w:sz w:val="24"/>
        </w:rPr>
      </w:pPr>
      <w:r w:rsidRPr="007751DD">
        <w:rPr>
          <w:rFonts w:ascii="Arial" w:hAnsi="Arial" w:cs="Arial"/>
          <w:sz w:val="24"/>
        </w:rPr>
        <w:t xml:space="preserve">Vzhledem k významné částce výdajů na činnost místní správy </w:t>
      </w:r>
      <w:r w:rsidR="007968C7" w:rsidRPr="007751DD">
        <w:rPr>
          <w:rFonts w:ascii="Arial" w:hAnsi="Arial" w:cs="Arial"/>
          <w:sz w:val="24"/>
        </w:rPr>
        <w:t xml:space="preserve">a </w:t>
      </w:r>
      <w:r w:rsidRPr="007751DD">
        <w:rPr>
          <w:rFonts w:ascii="Arial" w:hAnsi="Arial" w:cs="Arial"/>
          <w:sz w:val="24"/>
        </w:rPr>
        <w:t>na provoz jednotlivých příspěvkových organizací zřizovaných městem jsou tyto dvě oblasti v rámci rozpočtového výhledu sledovány zvlášť. Rozpočtový výhled vychází z upraveného rozpočtu 201</w:t>
      </w:r>
      <w:r w:rsidR="007751DD" w:rsidRPr="007751DD">
        <w:rPr>
          <w:rFonts w:ascii="Arial" w:hAnsi="Arial" w:cs="Arial"/>
          <w:sz w:val="24"/>
        </w:rPr>
        <w:t>6</w:t>
      </w:r>
      <w:r w:rsidRPr="007751DD">
        <w:rPr>
          <w:rFonts w:ascii="Arial" w:hAnsi="Arial" w:cs="Arial"/>
          <w:sz w:val="24"/>
        </w:rPr>
        <w:t>. V úvahu byly vzaty i změny závazných ukazatelů rozpočtu týkajících se příspěvků příspěvkovým organizacím provedených ZM v</w:t>
      </w:r>
      <w:r w:rsidR="007751DD" w:rsidRPr="007751DD">
        <w:rPr>
          <w:rFonts w:ascii="Arial" w:hAnsi="Arial" w:cs="Arial"/>
          <w:sz w:val="24"/>
        </w:rPr>
        <w:t xml:space="preserve"> průběhu roku </w:t>
      </w:r>
      <w:r w:rsidRPr="007751DD">
        <w:rPr>
          <w:rFonts w:ascii="Arial" w:hAnsi="Arial" w:cs="Arial"/>
          <w:sz w:val="24"/>
        </w:rPr>
        <w:t>201</w:t>
      </w:r>
      <w:r w:rsidR="007751DD" w:rsidRPr="007751DD">
        <w:rPr>
          <w:rFonts w:ascii="Arial" w:hAnsi="Arial" w:cs="Arial"/>
          <w:sz w:val="24"/>
        </w:rPr>
        <w:t>6</w:t>
      </w:r>
      <w:r w:rsidRPr="007751DD">
        <w:rPr>
          <w:rFonts w:ascii="Arial" w:hAnsi="Arial" w:cs="Arial"/>
          <w:sz w:val="24"/>
        </w:rPr>
        <w:t>.</w:t>
      </w:r>
      <w:r w:rsidR="00B760BD" w:rsidRPr="007751DD">
        <w:rPr>
          <w:rFonts w:ascii="Arial" w:hAnsi="Arial" w:cs="Arial"/>
          <w:sz w:val="24"/>
        </w:rPr>
        <w:t xml:space="preserve"> Růst těchto výdajů se v rozpočtovém výhledu předpokládá maximálně do výše o</w:t>
      </w:r>
      <w:r w:rsidR="00194F16" w:rsidRPr="007751DD">
        <w:rPr>
          <w:rFonts w:ascii="Arial" w:hAnsi="Arial" w:cs="Arial"/>
          <w:sz w:val="24"/>
        </w:rPr>
        <w:t xml:space="preserve">čekávané průměrné míry inflace. </w:t>
      </w:r>
      <w:r w:rsidR="007751DD" w:rsidRPr="007751DD">
        <w:rPr>
          <w:rFonts w:ascii="Arial" w:hAnsi="Arial" w:cs="Arial"/>
          <w:sz w:val="24"/>
        </w:rPr>
        <w:t xml:space="preserve">Navýšení v roce 2017 obsahuje i zákonné navýšení mezd. </w:t>
      </w:r>
      <w:r w:rsidR="00194F16" w:rsidRPr="007751DD">
        <w:rPr>
          <w:rFonts w:ascii="Arial" w:hAnsi="Arial" w:cs="Arial"/>
          <w:sz w:val="24"/>
        </w:rPr>
        <w:t xml:space="preserve">V posledních letech se významně investovalo do zlepšení podmínek příspěvkových organizací a </w:t>
      </w:r>
      <w:r w:rsidR="007751DD" w:rsidRPr="007751DD">
        <w:rPr>
          <w:rFonts w:ascii="Arial" w:hAnsi="Arial" w:cs="Arial"/>
          <w:sz w:val="24"/>
        </w:rPr>
        <w:t xml:space="preserve">i nadále budou v této oblasti probíhat investice. </w:t>
      </w:r>
      <w:r w:rsidR="007751DD">
        <w:rPr>
          <w:rFonts w:ascii="Arial" w:hAnsi="Arial" w:cs="Arial"/>
          <w:sz w:val="24"/>
        </w:rPr>
        <w:t>Na</w:t>
      </w:r>
      <w:r w:rsidR="00194F16" w:rsidRPr="007751DD">
        <w:rPr>
          <w:rFonts w:ascii="Arial" w:hAnsi="Arial" w:cs="Arial"/>
          <w:sz w:val="24"/>
        </w:rPr>
        <w:t xml:space="preserve"> ZŠ Šlapanice bude řešeno osvětlení</w:t>
      </w:r>
      <w:r w:rsidR="007751DD" w:rsidRPr="007751DD">
        <w:rPr>
          <w:rFonts w:ascii="Arial" w:hAnsi="Arial" w:cs="Arial"/>
          <w:sz w:val="24"/>
        </w:rPr>
        <w:t xml:space="preserve"> a další potřebné vnitřní úpravy</w:t>
      </w:r>
      <w:r w:rsidR="00194F16" w:rsidRPr="007751DD">
        <w:rPr>
          <w:rFonts w:ascii="Arial" w:hAnsi="Arial" w:cs="Arial"/>
          <w:sz w:val="24"/>
        </w:rPr>
        <w:t>. Toto ale bude řešeno v rámci investičních akcí měst</w:t>
      </w:r>
      <w:r w:rsidR="0060168A">
        <w:rPr>
          <w:rFonts w:ascii="Arial" w:hAnsi="Arial" w:cs="Arial"/>
          <w:sz w:val="24"/>
        </w:rPr>
        <w:t>a a nikoliv z ročního příspěvku </w:t>
      </w:r>
      <w:r w:rsidR="00194F16" w:rsidRPr="007751DD">
        <w:rPr>
          <w:rFonts w:ascii="Arial" w:hAnsi="Arial" w:cs="Arial"/>
          <w:sz w:val="24"/>
        </w:rPr>
        <w:t xml:space="preserve">PO. </w:t>
      </w:r>
    </w:p>
    <w:p w:rsidR="0052595A" w:rsidRPr="007751DD" w:rsidRDefault="007968C7" w:rsidP="00194F16">
      <w:pPr>
        <w:spacing w:after="0"/>
        <w:jc w:val="both"/>
        <w:rPr>
          <w:rFonts w:ascii="Arial" w:hAnsi="Arial" w:cs="Arial"/>
          <w:sz w:val="24"/>
        </w:rPr>
      </w:pPr>
      <w:r w:rsidRPr="007751DD">
        <w:rPr>
          <w:rFonts w:ascii="Arial" w:hAnsi="Arial" w:cs="Arial"/>
          <w:sz w:val="24"/>
        </w:rPr>
        <w:t>Následující dva grafy znázorňují v</w:t>
      </w:r>
      <w:r w:rsidR="0052595A" w:rsidRPr="007751DD">
        <w:rPr>
          <w:rFonts w:ascii="Arial" w:hAnsi="Arial" w:cs="Arial"/>
          <w:sz w:val="24"/>
        </w:rPr>
        <w:t>ývoj výdajů na činnost místní správy a vývoj výše příspěvků města zřiz</w:t>
      </w:r>
      <w:r w:rsidRPr="007751DD">
        <w:rPr>
          <w:rFonts w:ascii="Arial" w:hAnsi="Arial" w:cs="Arial"/>
          <w:sz w:val="24"/>
        </w:rPr>
        <w:t>ovaným příspěvkovým organizacím.</w:t>
      </w:r>
    </w:p>
    <w:p w:rsidR="000847B9" w:rsidRPr="00BF7D93" w:rsidRDefault="000847B9" w:rsidP="00194F16">
      <w:pPr>
        <w:spacing w:after="0"/>
        <w:jc w:val="both"/>
        <w:rPr>
          <w:rFonts w:ascii="Arial" w:hAnsi="Arial" w:cs="Arial"/>
          <w:color w:val="FF0000"/>
          <w:sz w:val="24"/>
        </w:rPr>
      </w:pPr>
    </w:p>
    <w:p w:rsidR="0052595A" w:rsidRPr="00112BD9" w:rsidRDefault="00194F16" w:rsidP="000847B9">
      <w:pPr>
        <w:pStyle w:val="Podtitul"/>
      </w:pPr>
      <w:bookmarkStart w:id="18" w:name="_Toc465944080"/>
      <w:r w:rsidRPr="00112BD9">
        <w:t xml:space="preserve">Graf č. </w:t>
      </w:r>
      <w:r w:rsidR="0044334F" w:rsidRPr="00112BD9">
        <w:t>6</w:t>
      </w:r>
      <w:r w:rsidR="0052595A" w:rsidRPr="00112BD9">
        <w:t xml:space="preserve">: </w:t>
      </w:r>
      <w:r w:rsidR="00643C90" w:rsidRPr="00112BD9">
        <w:t>Vývoj výdajů na čin</w:t>
      </w:r>
      <w:r w:rsidR="00F90214" w:rsidRPr="00112BD9">
        <w:t>nost místní správy v letech 201</w:t>
      </w:r>
      <w:r w:rsidR="00112BD9" w:rsidRPr="00112BD9">
        <w:t>0</w:t>
      </w:r>
      <w:r w:rsidR="00643C90" w:rsidRPr="00112BD9">
        <w:t xml:space="preserve"> - 201</w:t>
      </w:r>
      <w:r w:rsidR="00F90214" w:rsidRPr="00112BD9">
        <w:t>6</w:t>
      </w:r>
      <w:bookmarkEnd w:id="18"/>
    </w:p>
    <w:p w:rsidR="00643C90" w:rsidRPr="00BF7D93" w:rsidRDefault="00112BD9" w:rsidP="00F11973">
      <w:pPr>
        <w:spacing w:before="200" w:after="240"/>
        <w:jc w:val="center"/>
        <w:rPr>
          <w:color w:val="FF0000"/>
        </w:rPr>
      </w:pPr>
      <w:r>
        <w:rPr>
          <w:noProof/>
          <w:lang w:eastAsia="cs-CZ"/>
        </w:rPr>
        <w:drawing>
          <wp:inline distT="0" distB="0" distL="0" distR="0" wp14:anchorId="59ECC02A" wp14:editId="6E4814B1">
            <wp:extent cx="4733925" cy="2743200"/>
            <wp:effectExtent l="0" t="0" r="9525" b="19050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11973" w:rsidRPr="00BF7D93" w:rsidRDefault="00F11973" w:rsidP="00B760BD">
      <w:pPr>
        <w:spacing w:before="200" w:after="240"/>
        <w:jc w:val="both"/>
        <w:rPr>
          <w:color w:val="FF0000"/>
        </w:rPr>
      </w:pPr>
    </w:p>
    <w:p w:rsidR="00F11973" w:rsidRPr="00112BD9" w:rsidRDefault="00F11973" w:rsidP="000847B9">
      <w:pPr>
        <w:pStyle w:val="Podtitul"/>
        <w:spacing w:before="2520"/>
      </w:pPr>
      <w:bookmarkStart w:id="19" w:name="_Toc465944081"/>
      <w:r w:rsidRPr="00112BD9">
        <w:lastRenderedPageBreak/>
        <w:t xml:space="preserve">Graf č. </w:t>
      </w:r>
      <w:r w:rsidR="0044334F" w:rsidRPr="00112BD9">
        <w:t>7</w:t>
      </w:r>
      <w:r w:rsidRPr="00112BD9">
        <w:t>: Přehled výdajů na příspěvkové organizace města Šlapanice v letech 2010 - 201</w:t>
      </w:r>
      <w:r w:rsidR="00112BD9" w:rsidRPr="00112BD9">
        <w:t>6</w:t>
      </w:r>
      <w:bookmarkEnd w:id="19"/>
    </w:p>
    <w:p w:rsidR="00F11973" w:rsidRPr="00BF7D93" w:rsidRDefault="00112BD9" w:rsidP="00F11973">
      <w:pPr>
        <w:spacing w:before="200" w:after="240"/>
        <w:jc w:val="center"/>
        <w:rPr>
          <w:color w:val="FF0000"/>
        </w:rPr>
      </w:pPr>
      <w:r>
        <w:rPr>
          <w:noProof/>
          <w:lang w:eastAsia="cs-CZ"/>
        </w:rPr>
        <w:drawing>
          <wp:inline distT="0" distB="0" distL="0" distR="0" wp14:anchorId="4FC00300" wp14:editId="73B3DD86">
            <wp:extent cx="5760720" cy="3378610"/>
            <wp:effectExtent l="0" t="0" r="11430" b="12700"/>
            <wp:docPr id="16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D0956" w:rsidRPr="0060168A" w:rsidRDefault="006D0956" w:rsidP="00F11973">
      <w:pPr>
        <w:spacing w:before="200" w:after="240"/>
        <w:jc w:val="center"/>
      </w:pPr>
    </w:p>
    <w:p w:rsidR="00C109B2" w:rsidRPr="0060168A" w:rsidRDefault="00C109B2" w:rsidP="00C109B2">
      <w:pPr>
        <w:pStyle w:val="Nadpis3"/>
        <w:numPr>
          <w:ilvl w:val="2"/>
          <w:numId w:val="1"/>
        </w:numPr>
        <w:ind w:left="709" w:hanging="709"/>
      </w:pPr>
      <w:bookmarkStart w:id="20" w:name="_Toc465944068"/>
      <w:r w:rsidRPr="0060168A">
        <w:t>Výdaje na splátky úvěrů</w:t>
      </w:r>
      <w:bookmarkEnd w:id="20"/>
    </w:p>
    <w:p w:rsidR="003A506F" w:rsidRPr="00BF7D93" w:rsidRDefault="003A506F" w:rsidP="00805048">
      <w:pPr>
        <w:spacing w:before="200"/>
        <w:jc w:val="both"/>
        <w:rPr>
          <w:rFonts w:ascii="Arial" w:hAnsi="Arial" w:cs="Arial"/>
          <w:color w:val="FF0000"/>
          <w:sz w:val="24"/>
        </w:rPr>
      </w:pPr>
      <w:r w:rsidRPr="0060168A">
        <w:rPr>
          <w:rFonts w:ascii="Arial" w:hAnsi="Arial" w:cs="Arial"/>
          <w:sz w:val="24"/>
        </w:rPr>
        <w:t>Město šlapanice v</w:t>
      </w:r>
      <w:r w:rsidR="00800700" w:rsidRPr="0060168A">
        <w:rPr>
          <w:rFonts w:ascii="Arial" w:hAnsi="Arial" w:cs="Arial"/>
          <w:sz w:val="24"/>
        </w:rPr>
        <w:t> </w:t>
      </w:r>
      <w:r w:rsidRPr="0060168A">
        <w:rPr>
          <w:rFonts w:ascii="Arial" w:hAnsi="Arial" w:cs="Arial"/>
          <w:sz w:val="24"/>
        </w:rPr>
        <w:t>roce</w:t>
      </w:r>
      <w:r w:rsidR="00800700" w:rsidRPr="0060168A">
        <w:rPr>
          <w:rFonts w:ascii="Arial" w:hAnsi="Arial" w:cs="Arial"/>
          <w:sz w:val="24"/>
        </w:rPr>
        <w:t xml:space="preserve"> </w:t>
      </w:r>
      <w:r w:rsidRPr="0060168A">
        <w:rPr>
          <w:rFonts w:ascii="Arial" w:hAnsi="Arial" w:cs="Arial"/>
          <w:sz w:val="24"/>
        </w:rPr>
        <w:t>2013 uzavřelo úvěrovou smlouvu na úhradu výdajů souvisejících s investi</w:t>
      </w:r>
      <w:r w:rsidR="0060168A" w:rsidRPr="0060168A">
        <w:rPr>
          <w:rFonts w:ascii="Arial" w:hAnsi="Arial" w:cs="Arial"/>
          <w:sz w:val="24"/>
        </w:rPr>
        <w:t>čními akcemi. Ke konci roku 201</w:t>
      </w:r>
      <w:r w:rsidR="00E35D73">
        <w:rPr>
          <w:rFonts w:ascii="Arial" w:hAnsi="Arial" w:cs="Arial"/>
          <w:sz w:val="24"/>
        </w:rPr>
        <w:t>4</w:t>
      </w:r>
      <w:r w:rsidR="0060168A" w:rsidRPr="0060168A">
        <w:rPr>
          <w:rFonts w:ascii="Arial" w:hAnsi="Arial" w:cs="Arial"/>
          <w:sz w:val="24"/>
        </w:rPr>
        <w:t xml:space="preserve"> bylo vyčerpáno 82.664 tis. </w:t>
      </w:r>
      <w:r w:rsidRPr="0060168A">
        <w:rPr>
          <w:rFonts w:ascii="Arial" w:hAnsi="Arial" w:cs="Arial"/>
          <w:sz w:val="24"/>
        </w:rPr>
        <w:t xml:space="preserve">Kč. </w:t>
      </w:r>
      <w:r w:rsidR="00E35D73">
        <w:rPr>
          <w:rFonts w:ascii="Arial" w:hAnsi="Arial" w:cs="Arial"/>
          <w:sz w:val="24"/>
        </w:rPr>
        <w:t xml:space="preserve">Zůstatek k 31.12.2015 činil 72.664 tis. Kč. </w:t>
      </w:r>
      <w:r w:rsidRPr="0060168A">
        <w:rPr>
          <w:rFonts w:ascii="Arial" w:hAnsi="Arial" w:cs="Arial"/>
          <w:sz w:val="24"/>
        </w:rPr>
        <w:t>V následujících letech znamená tento úvěr zatížení rozpočtu ve výši 10 mil. ročně na splátky úvěru</w:t>
      </w:r>
      <w:r w:rsidRPr="00BF7D93">
        <w:rPr>
          <w:rFonts w:ascii="Arial" w:hAnsi="Arial" w:cs="Arial"/>
          <w:color w:val="FF0000"/>
          <w:sz w:val="24"/>
        </w:rPr>
        <w:t>.</w:t>
      </w:r>
      <w:r w:rsidR="00B11B45" w:rsidRPr="00BF7D93">
        <w:rPr>
          <w:rFonts w:ascii="Arial" w:hAnsi="Arial" w:cs="Arial"/>
          <w:color w:val="FF0000"/>
          <w:sz w:val="24"/>
        </w:rPr>
        <w:t xml:space="preserve"> </w:t>
      </w:r>
      <w:r w:rsidR="00B11B45" w:rsidRPr="00247B50">
        <w:rPr>
          <w:rFonts w:ascii="Arial" w:hAnsi="Arial" w:cs="Arial"/>
          <w:sz w:val="24"/>
        </w:rPr>
        <w:t>A úroku přibližně 0,5 mil. Kč ročně.</w:t>
      </w:r>
      <w:r w:rsidR="00755F0B" w:rsidRPr="00247B50">
        <w:rPr>
          <w:rFonts w:ascii="Arial" w:hAnsi="Arial" w:cs="Arial"/>
          <w:sz w:val="24"/>
        </w:rPr>
        <w:t xml:space="preserve"> </w:t>
      </w:r>
    </w:p>
    <w:p w:rsidR="00755F0B" w:rsidRPr="00EA36A4" w:rsidRDefault="00755F0B" w:rsidP="00AD10F6">
      <w:pPr>
        <w:pStyle w:val="Podtitul"/>
        <w:rPr>
          <w:rStyle w:val="Zvraznn"/>
        </w:rPr>
      </w:pPr>
      <w:bookmarkStart w:id="21" w:name="_Toc465944082"/>
      <w:r w:rsidRPr="00EA36A4">
        <w:rPr>
          <w:rStyle w:val="Zvraznn"/>
        </w:rPr>
        <w:t xml:space="preserve">Tabulka č. </w:t>
      </w:r>
      <w:r w:rsidR="00424DA6" w:rsidRPr="00EA36A4">
        <w:rPr>
          <w:rStyle w:val="Zvraznn"/>
        </w:rPr>
        <w:t>2</w:t>
      </w:r>
      <w:r w:rsidRPr="00EA36A4">
        <w:rPr>
          <w:rStyle w:val="Zvraznn"/>
        </w:rPr>
        <w:t xml:space="preserve">: Přehled </w:t>
      </w:r>
      <w:r w:rsidR="00EB6765" w:rsidRPr="00EA36A4">
        <w:rPr>
          <w:rStyle w:val="Zvraznn"/>
        </w:rPr>
        <w:t>čerpání a splátek bankovních úvěrů 2014 - 2023</w:t>
      </w:r>
      <w:bookmarkEnd w:id="21"/>
    </w:p>
    <w:tbl>
      <w:tblPr>
        <w:tblW w:w="5847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854"/>
        <w:gridCol w:w="991"/>
        <w:gridCol w:w="995"/>
        <w:gridCol w:w="993"/>
        <w:gridCol w:w="991"/>
        <w:gridCol w:w="991"/>
        <w:gridCol w:w="993"/>
        <w:gridCol w:w="993"/>
        <w:gridCol w:w="989"/>
        <w:gridCol w:w="851"/>
      </w:tblGrid>
      <w:tr w:rsidR="00BF7D93" w:rsidRPr="00BF7D93" w:rsidTr="00112BD9">
        <w:trPr>
          <w:trHeight w:val="585"/>
        </w:trPr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62" w:rsidRPr="00EA36A4" w:rsidRDefault="00751962" w:rsidP="007519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EA36A4">
              <w:rPr>
                <w:rFonts w:ascii="Calibri" w:eastAsia="Times New Roman" w:hAnsi="Calibri" w:cs="Times New Roman"/>
                <w:sz w:val="20"/>
                <w:lang w:eastAsia="cs-CZ"/>
              </w:rPr>
              <w:t xml:space="preserve">Název 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962" w:rsidRPr="00EA36A4" w:rsidRDefault="00751962" w:rsidP="0075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EA36A4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2014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962" w:rsidRPr="00EA36A4" w:rsidRDefault="00112BD9" w:rsidP="0075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EA36A4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2015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962" w:rsidRPr="00EA36A4" w:rsidRDefault="00112BD9" w:rsidP="0075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EA36A4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Rozpočet</w:t>
            </w:r>
            <w:r w:rsidR="00751962" w:rsidRPr="00EA36A4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 xml:space="preserve"> 2016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962" w:rsidRPr="00EA36A4" w:rsidRDefault="00751962" w:rsidP="0075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EA36A4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Výhled 2017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962" w:rsidRPr="00EA36A4" w:rsidRDefault="00751962" w:rsidP="0075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EA36A4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Výhled 2018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962" w:rsidRPr="00EA36A4" w:rsidRDefault="00751962" w:rsidP="0075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EA36A4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Výhled 2019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962" w:rsidRPr="00EA36A4" w:rsidRDefault="00751962" w:rsidP="0075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EA36A4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Výhled 2020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962" w:rsidRPr="00EA36A4" w:rsidRDefault="00751962" w:rsidP="0075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EA36A4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Výhled 2021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962" w:rsidRPr="00EA36A4" w:rsidRDefault="00751962" w:rsidP="0075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EA36A4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Výhled 2022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62" w:rsidRPr="00EA36A4" w:rsidRDefault="00751962" w:rsidP="0075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EA36A4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Výhled 2023</w:t>
            </w:r>
          </w:p>
        </w:tc>
      </w:tr>
      <w:tr w:rsidR="00BF7D93" w:rsidRPr="00BF7D93" w:rsidTr="00112BD9">
        <w:trPr>
          <w:trHeight w:val="300"/>
        </w:trPr>
        <w:tc>
          <w:tcPr>
            <w:tcW w:w="5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62" w:rsidRPr="00EA36A4" w:rsidRDefault="00751962" w:rsidP="007519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EA36A4">
              <w:rPr>
                <w:rFonts w:ascii="Calibri" w:eastAsia="Times New Roman" w:hAnsi="Calibri" w:cs="Times New Roman"/>
                <w:sz w:val="20"/>
                <w:lang w:eastAsia="cs-CZ"/>
              </w:rPr>
              <w:t xml:space="preserve"> Čerpání úvěrů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62" w:rsidRPr="00EA36A4" w:rsidRDefault="00751962" w:rsidP="00751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EA36A4">
              <w:rPr>
                <w:rFonts w:ascii="Calibri" w:eastAsia="Times New Roman" w:hAnsi="Calibri" w:cs="Times New Roman"/>
                <w:sz w:val="20"/>
                <w:lang w:eastAsia="cs-CZ"/>
              </w:rPr>
              <w:t>82 664,0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62" w:rsidRPr="00EA36A4" w:rsidRDefault="00751962" w:rsidP="00751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EA36A4">
              <w:rPr>
                <w:rFonts w:ascii="Calibri" w:eastAsia="Times New Roman" w:hAnsi="Calibri" w:cs="Times New Roman"/>
                <w:sz w:val="20"/>
                <w:lang w:eastAsia="cs-CZ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62" w:rsidRPr="00EA36A4" w:rsidRDefault="00751962" w:rsidP="00751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EA36A4">
              <w:rPr>
                <w:rFonts w:ascii="Calibri" w:eastAsia="Times New Roman" w:hAnsi="Calibri" w:cs="Times New Roman"/>
                <w:sz w:val="20"/>
                <w:lang w:eastAsia="cs-CZ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62" w:rsidRPr="00EA36A4" w:rsidRDefault="00751962" w:rsidP="00751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EA36A4">
              <w:rPr>
                <w:rFonts w:ascii="Calibri" w:eastAsia="Times New Roman" w:hAnsi="Calibri" w:cs="Times New Roman"/>
                <w:sz w:val="20"/>
                <w:lang w:eastAsia="cs-CZ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62" w:rsidRPr="00EA36A4" w:rsidRDefault="00751962" w:rsidP="00751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EA36A4">
              <w:rPr>
                <w:rFonts w:ascii="Calibri" w:eastAsia="Times New Roman" w:hAnsi="Calibri" w:cs="Times New Roman"/>
                <w:sz w:val="20"/>
                <w:lang w:eastAsia="cs-CZ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62" w:rsidRPr="00EA36A4" w:rsidRDefault="00751962" w:rsidP="00751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EA36A4">
              <w:rPr>
                <w:rFonts w:ascii="Calibri" w:eastAsia="Times New Roman" w:hAnsi="Calibri" w:cs="Times New Roman"/>
                <w:sz w:val="20"/>
                <w:lang w:eastAsia="cs-CZ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62" w:rsidRPr="00EA36A4" w:rsidRDefault="00751962" w:rsidP="00751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EA36A4">
              <w:rPr>
                <w:rFonts w:ascii="Calibri" w:eastAsia="Times New Roman" w:hAnsi="Calibri" w:cs="Times New Roman"/>
                <w:sz w:val="20"/>
                <w:lang w:eastAsia="cs-CZ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62" w:rsidRPr="00EA36A4" w:rsidRDefault="00751962" w:rsidP="00751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EA36A4">
              <w:rPr>
                <w:rFonts w:ascii="Calibri" w:eastAsia="Times New Roman" w:hAnsi="Calibri" w:cs="Times New Roman"/>
                <w:sz w:val="20"/>
                <w:lang w:eastAsia="cs-CZ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62" w:rsidRPr="00EA36A4" w:rsidRDefault="00751962" w:rsidP="00751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EA36A4">
              <w:rPr>
                <w:rFonts w:ascii="Calibri" w:eastAsia="Times New Roman" w:hAnsi="Calibri" w:cs="Times New Roman"/>
                <w:sz w:val="20"/>
                <w:lang w:eastAsia="cs-CZ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962" w:rsidRPr="00EA36A4" w:rsidRDefault="00751962" w:rsidP="00751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EA36A4">
              <w:rPr>
                <w:rFonts w:ascii="Calibri" w:eastAsia="Times New Roman" w:hAnsi="Calibri" w:cs="Times New Roman"/>
                <w:sz w:val="20"/>
                <w:lang w:eastAsia="cs-CZ"/>
              </w:rPr>
              <w:t>0,0</w:t>
            </w:r>
          </w:p>
        </w:tc>
      </w:tr>
      <w:tr w:rsidR="00BF7D93" w:rsidRPr="00BF7D93" w:rsidTr="00112BD9">
        <w:trPr>
          <w:trHeight w:val="300"/>
        </w:trPr>
        <w:tc>
          <w:tcPr>
            <w:tcW w:w="5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62" w:rsidRPr="00EA36A4" w:rsidRDefault="00751962" w:rsidP="007519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EA36A4">
              <w:rPr>
                <w:rFonts w:ascii="Calibri" w:eastAsia="Times New Roman" w:hAnsi="Calibri" w:cs="Times New Roman"/>
                <w:sz w:val="20"/>
                <w:lang w:eastAsia="cs-CZ"/>
              </w:rPr>
              <w:t xml:space="preserve"> Splátky úvěrů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62" w:rsidRPr="00EA36A4" w:rsidRDefault="00751962" w:rsidP="00751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EA36A4">
              <w:rPr>
                <w:rFonts w:ascii="Calibri" w:eastAsia="Times New Roman" w:hAnsi="Calibri" w:cs="Times New Roman"/>
                <w:sz w:val="20"/>
                <w:lang w:eastAsia="cs-CZ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62" w:rsidRPr="00EA36A4" w:rsidRDefault="00751962" w:rsidP="00751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EA36A4">
              <w:rPr>
                <w:rFonts w:ascii="Calibri" w:eastAsia="Times New Roman" w:hAnsi="Calibri" w:cs="Times New Roman"/>
                <w:sz w:val="20"/>
                <w:lang w:eastAsia="cs-CZ"/>
              </w:rPr>
              <w:t>-10 000,0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62" w:rsidRPr="00EA36A4" w:rsidRDefault="00751962" w:rsidP="00751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EA36A4">
              <w:rPr>
                <w:rFonts w:ascii="Calibri" w:eastAsia="Times New Roman" w:hAnsi="Calibri" w:cs="Times New Roman"/>
                <w:sz w:val="20"/>
                <w:lang w:eastAsia="cs-CZ"/>
              </w:rPr>
              <w:t>-10 000,0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62" w:rsidRPr="00EA36A4" w:rsidRDefault="00751962" w:rsidP="00751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EA36A4">
              <w:rPr>
                <w:rFonts w:ascii="Calibri" w:eastAsia="Times New Roman" w:hAnsi="Calibri" w:cs="Times New Roman"/>
                <w:sz w:val="20"/>
                <w:lang w:eastAsia="cs-CZ"/>
              </w:rPr>
              <w:t>-10 000,0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62" w:rsidRPr="00EA36A4" w:rsidRDefault="00751962" w:rsidP="00751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EA36A4">
              <w:rPr>
                <w:rFonts w:ascii="Calibri" w:eastAsia="Times New Roman" w:hAnsi="Calibri" w:cs="Times New Roman"/>
                <w:sz w:val="20"/>
                <w:lang w:eastAsia="cs-CZ"/>
              </w:rPr>
              <w:t>-10 000,0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62" w:rsidRPr="00EA36A4" w:rsidRDefault="00751962" w:rsidP="00751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EA36A4">
              <w:rPr>
                <w:rFonts w:ascii="Calibri" w:eastAsia="Times New Roman" w:hAnsi="Calibri" w:cs="Times New Roman"/>
                <w:sz w:val="20"/>
                <w:lang w:eastAsia="cs-CZ"/>
              </w:rPr>
              <w:t>-10 000,0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62" w:rsidRPr="00EA36A4" w:rsidRDefault="00751962" w:rsidP="00751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EA36A4">
              <w:rPr>
                <w:rFonts w:ascii="Calibri" w:eastAsia="Times New Roman" w:hAnsi="Calibri" w:cs="Times New Roman"/>
                <w:sz w:val="20"/>
                <w:lang w:eastAsia="cs-CZ"/>
              </w:rPr>
              <w:t>-10 000,0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62" w:rsidRPr="00EA36A4" w:rsidRDefault="00751962" w:rsidP="00751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EA36A4">
              <w:rPr>
                <w:rFonts w:ascii="Calibri" w:eastAsia="Times New Roman" w:hAnsi="Calibri" w:cs="Times New Roman"/>
                <w:sz w:val="20"/>
                <w:lang w:eastAsia="cs-CZ"/>
              </w:rPr>
              <w:t>-10 000,0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62" w:rsidRPr="00EA36A4" w:rsidRDefault="00751962" w:rsidP="00751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EA36A4">
              <w:rPr>
                <w:rFonts w:ascii="Calibri" w:eastAsia="Times New Roman" w:hAnsi="Calibri" w:cs="Times New Roman"/>
                <w:sz w:val="20"/>
                <w:lang w:eastAsia="cs-CZ"/>
              </w:rPr>
              <w:t>-10 000,0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962" w:rsidRPr="00EA36A4" w:rsidRDefault="00751962" w:rsidP="00751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EA36A4">
              <w:rPr>
                <w:rFonts w:ascii="Calibri" w:eastAsia="Times New Roman" w:hAnsi="Calibri" w:cs="Times New Roman"/>
                <w:sz w:val="20"/>
                <w:lang w:eastAsia="cs-CZ"/>
              </w:rPr>
              <w:t>-2 664,0</w:t>
            </w:r>
          </w:p>
        </w:tc>
      </w:tr>
      <w:tr w:rsidR="00BF7D93" w:rsidRPr="00BF7D93" w:rsidTr="00112BD9">
        <w:trPr>
          <w:trHeight w:val="315"/>
        </w:trPr>
        <w:tc>
          <w:tcPr>
            <w:tcW w:w="52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62" w:rsidRPr="00EA36A4" w:rsidRDefault="00751962" w:rsidP="007519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lang w:eastAsia="cs-CZ"/>
              </w:rPr>
            </w:pPr>
            <w:r w:rsidRPr="00EA36A4">
              <w:rPr>
                <w:rFonts w:ascii="Calibri" w:eastAsia="Times New Roman" w:hAnsi="Calibri" w:cs="Times New Roman"/>
                <w:i/>
                <w:iCs/>
                <w:sz w:val="20"/>
                <w:lang w:eastAsia="cs-CZ"/>
              </w:rPr>
              <w:t>z toho:  regenerace objektů ZŠ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62" w:rsidRPr="00EA36A4" w:rsidRDefault="00751962" w:rsidP="00751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EA36A4">
              <w:rPr>
                <w:rFonts w:ascii="Calibri" w:eastAsia="Times New Roman" w:hAnsi="Calibri" w:cs="Times New Roman"/>
                <w:sz w:val="20"/>
                <w:lang w:eastAsia="cs-CZ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62" w:rsidRPr="00EA36A4" w:rsidRDefault="00751962" w:rsidP="00751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EA36A4">
              <w:rPr>
                <w:rFonts w:ascii="Calibri" w:eastAsia="Times New Roman" w:hAnsi="Calibri" w:cs="Times New Roman"/>
                <w:sz w:val="20"/>
                <w:lang w:eastAsia="cs-CZ"/>
              </w:rPr>
              <w:t>-10 000,0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62" w:rsidRPr="00EA36A4" w:rsidRDefault="00751962" w:rsidP="00751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EA36A4">
              <w:rPr>
                <w:rFonts w:ascii="Calibri" w:eastAsia="Times New Roman" w:hAnsi="Calibri" w:cs="Times New Roman"/>
                <w:sz w:val="20"/>
                <w:lang w:eastAsia="cs-CZ"/>
              </w:rPr>
              <w:t>-10 000,0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62" w:rsidRPr="00EA36A4" w:rsidRDefault="00751962" w:rsidP="00751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EA36A4">
              <w:rPr>
                <w:rFonts w:ascii="Calibri" w:eastAsia="Times New Roman" w:hAnsi="Calibri" w:cs="Times New Roman"/>
                <w:sz w:val="20"/>
                <w:lang w:eastAsia="cs-CZ"/>
              </w:rPr>
              <w:t>-10 000,0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62" w:rsidRPr="00EA36A4" w:rsidRDefault="00751962" w:rsidP="00751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EA36A4">
              <w:rPr>
                <w:rFonts w:ascii="Calibri" w:eastAsia="Times New Roman" w:hAnsi="Calibri" w:cs="Times New Roman"/>
                <w:sz w:val="20"/>
                <w:lang w:eastAsia="cs-CZ"/>
              </w:rPr>
              <w:t>-10 000,0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62" w:rsidRPr="00EA36A4" w:rsidRDefault="00751962" w:rsidP="00751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EA36A4">
              <w:rPr>
                <w:rFonts w:ascii="Calibri" w:eastAsia="Times New Roman" w:hAnsi="Calibri" w:cs="Times New Roman"/>
                <w:sz w:val="20"/>
                <w:lang w:eastAsia="cs-CZ"/>
              </w:rPr>
              <w:t>-10 000,0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62" w:rsidRPr="00EA36A4" w:rsidRDefault="00751962" w:rsidP="00751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EA36A4">
              <w:rPr>
                <w:rFonts w:ascii="Calibri" w:eastAsia="Times New Roman" w:hAnsi="Calibri" w:cs="Times New Roman"/>
                <w:sz w:val="20"/>
                <w:lang w:eastAsia="cs-CZ"/>
              </w:rPr>
              <w:t>-10 000,0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62" w:rsidRPr="00EA36A4" w:rsidRDefault="00751962" w:rsidP="00751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EA36A4">
              <w:rPr>
                <w:rFonts w:ascii="Calibri" w:eastAsia="Times New Roman" w:hAnsi="Calibri" w:cs="Times New Roman"/>
                <w:sz w:val="20"/>
                <w:lang w:eastAsia="cs-CZ"/>
              </w:rPr>
              <w:t>-10 000,0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62" w:rsidRPr="00EA36A4" w:rsidRDefault="00751962" w:rsidP="00751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EA36A4">
              <w:rPr>
                <w:rFonts w:ascii="Calibri" w:eastAsia="Times New Roman" w:hAnsi="Calibri" w:cs="Times New Roman"/>
                <w:sz w:val="20"/>
                <w:lang w:eastAsia="cs-CZ"/>
              </w:rPr>
              <w:t>-10 000,0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962" w:rsidRPr="00EA36A4" w:rsidRDefault="00751962" w:rsidP="00751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EA36A4">
              <w:rPr>
                <w:rFonts w:ascii="Calibri" w:eastAsia="Times New Roman" w:hAnsi="Calibri" w:cs="Times New Roman"/>
                <w:sz w:val="20"/>
                <w:lang w:eastAsia="cs-CZ"/>
              </w:rPr>
              <w:t>-2 664,0</w:t>
            </w:r>
          </w:p>
        </w:tc>
      </w:tr>
    </w:tbl>
    <w:p w:rsidR="00751962" w:rsidRPr="00BF7D93" w:rsidRDefault="00751962" w:rsidP="00805048">
      <w:pPr>
        <w:spacing w:before="200"/>
        <w:jc w:val="both"/>
        <w:rPr>
          <w:rFonts w:ascii="Arial" w:hAnsi="Arial" w:cs="Arial"/>
          <w:color w:val="FF0000"/>
        </w:rPr>
      </w:pPr>
    </w:p>
    <w:p w:rsidR="002F5E8D" w:rsidRPr="000574AE" w:rsidRDefault="002F5E8D" w:rsidP="002F5E8D">
      <w:pPr>
        <w:pStyle w:val="Nadpis3"/>
        <w:numPr>
          <w:ilvl w:val="2"/>
          <w:numId w:val="1"/>
        </w:numPr>
        <w:ind w:left="709" w:hanging="709"/>
      </w:pPr>
      <w:bookmarkStart w:id="22" w:name="_Toc465944069"/>
      <w:r w:rsidRPr="000574AE">
        <w:t>Ostatní běžné výdaje</w:t>
      </w:r>
      <w:bookmarkEnd w:id="22"/>
    </w:p>
    <w:p w:rsidR="007045C8" w:rsidRPr="000574AE" w:rsidRDefault="007045C8" w:rsidP="00A83FD3">
      <w:pPr>
        <w:spacing w:before="200"/>
        <w:jc w:val="both"/>
        <w:rPr>
          <w:rFonts w:ascii="Arial" w:hAnsi="Arial" w:cs="Arial"/>
          <w:sz w:val="24"/>
        </w:rPr>
      </w:pPr>
      <w:r w:rsidRPr="000574AE">
        <w:rPr>
          <w:rFonts w:ascii="Arial" w:hAnsi="Arial" w:cs="Arial"/>
          <w:sz w:val="24"/>
        </w:rPr>
        <w:t>Částka uvedená v jednotlivých letech rozpočtového výhledu pod položkou „ostatní běžné a kapitálové výda</w:t>
      </w:r>
      <w:r w:rsidR="0051157B" w:rsidRPr="000574AE">
        <w:rPr>
          <w:rFonts w:ascii="Arial" w:hAnsi="Arial" w:cs="Arial"/>
          <w:sz w:val="24"/>
        </w:rPr>
        <w:t>je“ musí pokrýt další výdaje obce</w:t>
      </w:r>
      <w:r w:rsidRPr="000574AE">
        <w:rPr>
          <w:rFonts w:ascii="Arial" w:hAnsi="Arial" w:cs="Arial"/>
          <w:sz w:val="24"/>
        </w:rPr>
        <w:t>, například:</w:t>
      </w:r>
    </w:p>
    <w:p w:rsidR="007045C8" w:rsidRPr="000574AE" w:rsidRDefault="007045C8" w:rsidP="007045C8">
      <w:pPr>
        <w:numPr>
          <w:ilvl w:val="1"/>
          <w:numId w:val="4"/>
        </w:numPr>
        <w:tabs>
          <w:tab w:val="clear" w:pos="1500"/>
          <w:tab w:val="num" w:pos="709"/>
        </w:tabs>
        <w:spacing w:before="120" w:after="0" w:line="240" w:lineRule="auto"/>
        <w:ind w:left="709" w:hanging="567"/>
        <w:jc w:val="both"/>
        <w:rPr>
          <w:rFonts w:ascii="Arial" w:hAnsi="Arial" w:cs="Arial"/>
          <w:sz w:val="24"/>
        </w:rPr>
      </w:pPr>
      <w:r w:rsidRPr="000574AE">
        <w:rPr>
          <w:rFonts w:ascii="Arial" w:hAnsi="Arial" w:cs="Arial"/>
          <w:sz w:val="24"/>
        </w:rPr>
        <w:lastRenderedPageBreak/>
        <w:t>výdaje na dopravní obslužnost,</w:t>
      </w:r>
    </w:p>
    <w:p w:rsidR="007045C8" w:rsidRPr="000574AE" w:rsidRDefault="007045C8" w:rsidP="007045C8">
      <w:pPr>
        <w:numPr>
          <w:ilvl w:val="1"/>
          <w:numId w:val="4"/>
        </w:numPr>
        <w:tabs>
          <w:tab w:val="clear" w:pos="1500"/>
          <w:tab w:val="num" w:pos="709"/>
        </w:tabs>
        <w:spacing w:after="0" w:line="240" w:lineRule="auto"/>
        <w:ind w:left="709" w:hanging="567"/>
        <w:jc w:val="both"/>
        <w:rPr>
          <w:rFonts w:ascii="Arial" w:hAnsi="Arial" w:cs="Arial"/>
          <w:sz w:val="24"/>
        </w:rPr>
      </w:pPr>
      <w:r w:rsidRPr="000574AE">
        <w:rPr>
          <w:rFonts w:ascii="Arial" w:hAnsi="Arial" w:cs="Arial"/>
          <w:sz w:val="24"/>
        </w:rPr>
        <w:t xml:space="preserve">výdaje na </w:t>
      </w:r>
      <w:r w:rsidR="00340DBB" w:rsidRPr="000574AE">
        <w:rPr>
          <w:rFonts w:ascii="Arial" w:hAnsi="Arial" w:cs="Arial"/>
          <w:sz w:val="24"/>
        </w:rPr>
        <w:t>dotace poskytované z rozpočtu města</w:t>
      </w:r>
      <w:r w:rsidRPr="000574AE">
        <w:rPr>
          <w:rFonts w:ascii="Arial" w:hAnsi="Arial" w:cs="Arial"/>
          <w:sz w:val="24"/>
        </w:rPr>
        <w:t>,</w:t>
      </w:r>
    </w:p>
    <w:p w:rsidR="007045C8" w:rsidRPr="000574AE" w:rsidRDefault="007045C8" w:rsidP="007045C8">
      <w:pPr>
        <w:numPr>
          <w:ilvl w:val="1"/>
          <w:numId w:val="4"/>
        </w:numPr>
        <w:tabs>
          <w:tab w:val="clear" w:pos="1500"/>
          <w:tab w:val="num" w:pos="709"/>
        </w:tabs>
        <w:spacing w:after="0" w:line="240" w:lineRule="auto"/>
        <w:ind w:left="709" w:hanging="567"/>
        <w:jc w:val="both"/>
        <w:rPr>
          <w:rFonts w:ascii="Arial" w:hAnsi="Arial" w:cs="Arial"/>
          <w:sz w:val="24"/>
        </w:rPr>
      </w:pPr>
      <w:r w:rsidRPr="000574AE">
        <w:rPr>
          <w:rFonts w:ascii="Arial" w:hAnsi="Arial" w:cs="Arial"/>
          <w:sz w:val="24"/>
        </w:rPr>
        <w:t xml:space="preserve">výdaje vyplývající z ostatních dlouhodobějších závazků </w:t>
      </w:r>
      <w:r w:rsidR="00340DBB" w:rsidRPr="000574AE">
        <w:rPr>
          <w:rFonts w:ascii="Arial" w:hAnsi="Arial" w:cs="Arial"/>
          <w:sz w:val="24"/>
        </w:rPr>
        <w:t>města</w:t>
      </w:r>
    </w:p>
    <w:p w:rsidR="0051157B" w:rsidRPr="000574AE" w:rsidRDefault="0051157B" w:rsidP="007045C8">
      <w:pPr>
        <w:numPr>
          <w:ilvl w:val="1"/>
          <w:numId w:val="4"/>
        </w:numPr>
        <w:tabs>
          <w:tab w:val="clear" w:pos="1500"/>
          <w:tab w:val="num" w:pos="709"/>
        </w:tabs>
        <w:spacing w:after="0" w:line="240" w:lineRule="auto"/>
        <w:ind w:left="709" w:hanging="567"/>
        <w:jc w:val="both"/>
        <w:rPr>
          <w:rFonts w:ascii="Arial" w:hAnsi="Arial" w:cs="Arial"/>
          <w:sz w:val="24"/>
        </w:rPr>
      </w:pPr>
      <w:r w:rsidRPr="000574AE">
        <w:rPr>
          <w:rFonts w:ascii="Arial" w:hAnsi="Arial" w:cs="Arial"/>
          <w:sz w:val="24"/>
        </w:rPr>
        <w:t>výdaje na opravy a udržování</w:t>
      </w:r>
    </w:p>
    <w:p w:rsidR="0051157B" w:rsidRPr="000574AE" w:rsidRDefault="00340DBB" w:rsidP="0051157B">
      <w:pPr>
        <w:numPr>
          <w:ilvl w:val="1"/>
          <w:numId w:val="4"/>
        </w:numPr>
        <w:tabs>
          <w:tab w:val="clear" w:pos="1500"/>
          <w:tab w:val="num" w:pos="709"/>
        </w:tabs>
        <w:spacing w:after="0" w:line="240" w:lineRule="auto"/>
        <w:ind w:left="709" w:hanging="567"/>
        <w:jc w:val="both"/>
        <w:rPr>
          <w:rFonts w:ascii="Arial" w:hAnsi="Arial" w:cs="Arial"/>
          <w:sz w:val="24"/>
        </w:rPr>
      </w:pPr>
      <w:r w:rsidRPr="000574AE">
        <w:rPr>
          <w:rFonts w:ascii="Arial" w:hAnsi="Arial" w:cs="Arial"/>
          <w:sz w:val="24"/>
        </w:rPr>
        <w:t>ostatní běžné výdaje</w:t>
      </w:r>
    </w:p>
    <w:p w:rsidR="003B6AA7" w:rsidRPr="000574AE" w:rsidRDefault="007045C8" w:rsidP="00671B97">
      <w:pPr>
        <w:spacing w:before="120" w:after="240"/>
        <w:jc w:val="both"/>
        <w:rPr>
          <w:rFonts w:ascii="Arial" w:hAnsi="Arial" w:cs="Arial"/>
          <w:sz w:val="24"/>
        </w:rPr>
      </w:pPr>
      <w:r w:rsidRPr="000574AE">
        <w:rPr>
          <w:rFonts w:ascii="Arial" w:hAnsi="Arial" w:cs="Arial"/>
          <w:sz w:val="24"/>
        </w:rPr>
        <w:t xml:space="preserve">Ostatní běžné </w:t>
      </w:r>
      <w:r w:rsidR="0051157B" w:rsidRPr="000574AE">
        <w:rPr>
          <w:rFonts w:ascii="Arial" w:hAnsi="Arial" w:cs="Arial"/>
          <w:sz w:val="24"/>
        </w:rPr>
        <w:t xml:space="preserve">výdaje jsou </w:t>
      </w:r>
      <w:r w:rsidRPr="000574AE">
        <w:rPr>
          <w:rFonts w:ascii="Arial" w:hAnsi="Arial" w:cs="Arial"/>
          <w:sz w:val="24"/>
        </w:rPr>
        <w:t>v letech 201</w:t>
      </w:r>
      <w:r w:rsidR="000574AE">
        <w:rPr>
          <w:rFonts w:ascii="Arial" w:hAnsi="Arial" w:cs="Arial"/>
          <w:sz w:val="24"/>
        </w:rPr>
        <w:t>7</w:t>
      </w:r>
      <w:r w:rsidRPr="000574AE">
        <w:rPr>
          <w:rFonts w:ascii="Arial" w:hAnsi="Arial" w:cs="Arial"/>
          <w:sz w:val="24"/>
        </w:rPr>
        <w:t xml:space="preserve"> – 20</w:t>
      </w:r>
      <w:r w:rsidR="00671B97" w:rsidRPr="000574AE">
        <w:rPr>
          <w:rFonts w:ascii="Arial" w:hAnsi="Arial" w:cs="Arial"/>
          <w:sz w:val="24"/>
        </w:rPr>
        <w:t>2</w:t>
      </w:r>
      <w:r w:rsidR="000574AE">
        <w:rPr>
          <w:rFonts w:ascii="Arial" w:hAnsi="Arial" w:cs="Arial"/>
          <w:sz w:val="24"/>
        </w:rPr>
        <w:t>1</w:t>
      </w:r>
      <w:r w:rsidRPr="000574AE">
        <w:rPr>
          <w:rFonts w:ascii="Arial" w:hAnsi="Arial" w:cs="Arial"/>
          <w:sz w:val="24"/>
        </w:rPr>
        <w:t xml:space="preserve"> </w:t>
      </w:r>
      <w:r w:rsidR="0051157B" w:rsidRPr="000574AE">
        <w:rPr>
          <w:rFonts w:ascii="Arial" w:hAnsi="Arial" w:cs="Arial"/>
          <w:sz w:val="24"/>
        </w:rPr>
        <w:t xml:space="preserve">stanoveny </w:t>
      </w:r>
      <w:r w:rsidR="00671B97" w:rsidRPr="000574AE">
        <w:rPr>
          <w:rFonts w:ascii="Arial" w:hAnsi="Arial" w:cs="Arial"/>
          <w:sz w:val="24"/>
        </w:rPr>
        <w:t xml:space="preserve">na základě dlouhodobého </w:t>
      </w:r>
      <w:r w:rsidR="0051157B" w:rsidRPr="000574AE">
        <w:rPr>
          <w:rFonts w:ascii="Arial" w:hAnsi="Arial" w:cs="Arial"/>
          <w:sz w:val="24"/>
        </w:rPr>
        <w:t>vývoje</w:t>
      </w:r>
      <w:r w:rsidR="00671B97" w:rsidRPr="000574AE">
        <w:rPr>
          <w:rFonts w:ascii="Arial" w:hAnsi="Arial" w:cs="Arial"/>
          <w:sz w:val="24"/>
        </w:rPr>
        <w:t xml:space="preserve"> běžných výdajů, na základě očekávané skutečnosti roku 201</w:t>
      </w:r>
      <w:r w:rsidR="000574AE">
        <w:rPr>
          <w:rFonts w:ascii="Arial" w:hAnsi="Arial" w:cs="Arial"/>
          <w:sz w:val="24"/>
        </w:rPr>
        <w:t>6</w:t>
      </w:r>
      <w:r w:rsidR="00671B97" w:rsidRPr="000574AE">
        <w:rPr>
          <w:rFonts w:ascii="Arial" w:hAnsi="Arial" w:cs="Arial"/>
          <w:sz w:val="24"/>
        </w:rPr>
        <w:t xml:space="preserve"> </w:t>
      </w:r>
      <w:r w:rsidR="0051157B" w:rsidRPr="000574AE">
        <w:rPr>
          <w:rFonts w:ascii="Arial" w:hAnsi="Arial" w:cs="Arial"/>
          <w:sz w:val="24"/>
        </w:rPr>
        <w:t xml:space="preserve">a </w:t>
      </w:r>
      <w:r w:rsidR="00671B97" w:rsidRPr="000574AE">
        <w:rPr>
          <w:rFonts w:ascii="Arial" w:hAnsi="Arial" w:cs="Arial"/>
          <w:sz w:val="24"/>
        </w:rPr>
        <w:t>s přihlédnutím k očekávané inflaci podle MF ČR.</w:t>
      </w:r>
      <w:r w:rsidR="003B6AA7" w:rsidRPr="000574AE">
        <w:rPr>
          <w:rFonts w:ascii="Arial" w:hAnsi="Arial" w:cs="Arial"/>
          <w:sz w:val="24"/>
        </w:rPr>
        <w:t xml:space="preserve"> </w:t>
      </w:r>
    </w:p>
    <w:p w:rsidR="002F5E8D" w:rsidRPr="00E35482" w:rsidRDefault="002F5E8D" w:rsidP="002F5E8D">
      <w:pPr>
        <w:pStyle w:val="Nadpis3"/>
        <w:numPr>
          <w:ilvl w:val="2"/>
          <w:numId w:val="1"/>
        </w:numPr>
        <w:ind w:left="709" w:hanging="709"/>
      </w:pPr>
      <w:bookmarkStart w:id="23" w:name="_Toc465944070"/>
      <w:r w:rsidRPr="00E35482">
        <w:t>Kapitálové výdaje</w:t>
      </w:r>
      <w:bookmarkEnd w:id="23"/>
    </w:p>
    <w:p w:rsidR="00ED397E" w:rsidRPr="00E35482" w:rsidRDefault="00E7416E" w:rsidP="00A83FD3">
      <w:pPr>
        <w:spacing w:before="200"/>
        <w:jc w:val="both"/>
        <w:rPr>
          <w:rFonts w:ascii="Arial" w:hAnsi="Arial" w:cs="Arial"/>
          <w:sz w:val="24"/>
        </w:rPr>
      </w:pPr>
      <w:r w:rsidRPr="00E35482">
        <w:rPr>
          <w:rFonts w:ascii="Arial" w:hAnsi="Arial" w:cs="Arial"/>
          <w:sz w:val="24"/>
        </w:rPr>
        <w:t xml:space="preserve">Kapitálové výdaje vycházejí z možností rozpočtu po odečtení běžných výdajů, </w:t>
      </w:r>
      <w:r w:rsidR="003B41D1" w:rsidRPr="00E35482">
        <w:rPr>
          <w:rFonts w:ascii="Arial" w:hAnsi="Arial" w:cs="Arial"/>
          <w:sz w:val="24"/>
        </w:rPr>
        <w:t xml:space="preserve">dlouhodobých závazků a </w:t>
      </w:r>
      <w:r w:rsidRPr="00E35482">
        <w:rPr>
          <w:rFonts w:ascii="Arial" w:hAnsi="Arial" w:cs="Arial"/>
          <w:sz w:val="24"/>
        </w:rPr>
        <w:t>rezerv</w:t>
      </w:r>
      <w:r w:rsidR="003B41D1" w:rsidRPr="00E35482">
        <w:rPr>
          <w:rFonts w:ascii="Arial" w:hAnsi="Arial" w:cs="Arial"/>
          <w:sz w:val="24"/>
        </w:rPr>
        <w:t>y na opravy stávajícího majetku</w:t>
      </w:r>
      <w:r w:rsidRPr="00E35482">
        <w:rPr>
          <w:rFonts w:ascii="Arial" w:hAnsi="Arial" w:cs="Arial"/>
          <w:sz w:val="24"/>
        </w:rPr>
        <w:t xml:space="preserve">. V následujících letech je plánována významná investice města v souvislosti se řešením ekologické zátěže areálu ICEC. Prostředky na investiční akce byly rozvrhnuty rovnoměrně do následujících let a v závislosti na termínech realizace se budou při tvorbě jednotlivých rozpočtů mezi lety přesouvat. </w:t>
      </w:r>
    </w:p>
    <w:p w:rsidR="00517063" w:rsidRPr="00E35482" w:rsidRDefault="00E35482" w:rsidP="00A83FD3">
      <w:pPr>
        <w:spacing w:before="200"/>
        <w:jc w:val="both"/>
        <w:rPr>
          <w:rFonts w:ascii="Arial" w:hAnsi="Arial" w:cs="Arial"/>
          <w:sz w:val="24"/>
        </w:rPr>
      </w:pPr>
      <w:r w:rsidRPr="00E35482">
        <w:rPr>
          <w:rFonts w:ascii="Arial" w:hAnsi="Arial" w:cs="Arial"/>
          <w:sz w:val="24"/>
        </w:rPr>
        <w:t>Vzhledem k očekávanému zůstatku na bankovních účtech k 31.12.2016 je do budoucna plánováno zapojení prostředků minulých let na realizaci důležitých investičních akcí města.</w:t>
      </w:r>
    </w:p>
    <w:p w:rsidR="00517063" w:rsidRPr="00E35482" w:rsidRDefault="00E35482" w:rsidP="00A83FD3">
      <w:pPr>
        <w:spacing w:before="200"/>
        <w:jc w:val="both"/>
        <w:rPr>
          <w:rFonts w:ascii="Arial" w:hAnsi="Arial" w:cs="Arial"/>
          <w:sz w:val="24"/>
        </w:rPr>
      </w:pPr>
      <w:r w:rsidRPr="00E35482">
        <w:rPr>
          <w:rFonts w:ascii="Arial" w:hAnsi="Arial" w:cs="Arial"/>
          <w:sz w:val="24"/>
        </w:rPr>
        <w:t xml:space="preserve">Další možnosti financování investičních akcí města skýtají dotační tituly. Těchto možností se město snaží pravidelně využívat. </w:t>
      </w:r>
      <w:r>
        <w:rPr>
          <w:rFonts w:ascii="Arial" w:hAnsi="Arial" w:cs="Arial"/>
          <w:sz w:val="24"/>
        </w:rPr>
        <w:t xml:space="preserve">V roce 2016 bylo z dotace spolufinancováno například rozšíření školní jídelny. </w:t>
      </w:r>
      <w:r w:rsidR="00517063" w:rsidRPr="00E35482">
        <w:rPr>
          <w:rFonts w:ascii="Arial" w:hAnsi="Arial" w:cs="Arial"/>
          <w:sz w:val="24"/>
        </w:rPr>
        <w:t>V případě, že se podaří některé plánované akce krýt z účelových dotací, bude možnost investic vyšší.</w:t>
      </w:r>
    </w:p>
    <w:p w:rsidR="00B321AB" w:rsidRPr="000574AE" w:rsidRDefault="00B321AB" w:rsidP="00D2566E">
      <w:pPr>
        <w:pStyle w:val="Nadpis1"/>
        <w:numPr>
          <w:ilvl w:val="0"/>
          <w:numId w:val="1"/>
        </w:numPr>
        <w:ind w:left="284" w:hanging="284"/>
      </w:pPr>
      <w:bookmarkStart w:id="24" w:name="_Toc465944071"/>
      <w:r w:rsidRPr="000574AE">
        <w:t>DLOUHODOBÉ ZÁVAZKY</w:t>
      </w:r>
      <w:bookmarkEnd w:id="24"/>
    </w:p>
    <w:p w:rsidR="00A83FD3" w:rsidRPr="000574AE" w:rsidRDefault="00A83FD3" w:rsidP="00A83FD3">
      <w:pPr>
        <w:spacing w:before="200"/>
        <w:jc w:val="both"/>
        <w:rPr>
          <w:rFonts w:ascii="Arial" w:hAnsi="Arial" w:cs="Arial"/>
          <w:sz w:val="24"/>
        </w:rPr>
      </w:pPr>
      <w:r w:rsidRPr="000574AE">
        <w:rPr>
          <w:rFonts w:ascii="Arial" w:hAnsi="Arial" w:cs="Arial"/>
          <w:sz w:val="24"/>
        </w:rPr>
        <w:t>Významnou skutečností, která ovlivnila dlouhodobé závazky</w:t>
      </w:r>
      <w:r w:rsidR="006911DC" w:rsidRPr="000574AE">
        <w:rPr>
          <w:rFonts w:ascii="Arial" w:hAnsi="Arial" w:cs="Arial"/>
          <w:sz w:val="24"/>
        </w:rPr>
        <w:t>,</w:t>
      </w:r>
      <w:r w:rsidRPr="000574AE">
        <w:rPr>
          <w:rFonts w:ascii="Arial" w:hAnsi="Arial" w:cs="Arial"/>
          <w:sz w:val="24"/>
        </w:rPr>
        <w:t xml:space="preserve"> bylo přijetí úvěrové smlouvy v roce 2013.</w:t>
      </w:r>
      <w:r w:rsidR="006911DC" w:rsidRPr="000574AE">
        <w:rPr>
          <w:rFonts w:ascii="Arial" w:hAnsi="Arial" w:cs="Arial"/>
          <w:sz w:val="24"/>
        </w:rPr>
        <w:t xml:space="preserve"> </w:t>
      </w:r>
      <w:r w:rsidR="00730883" w:rsidRPr="000574AE">
        <w:rPr>
          <w:rFonts w:ascii="Arial" w:hAnsi="Arial" w:cs="Arial"/>
          <w:sz w:val="24"/>
        </w:rPr>
        <w:t xml:space="preserve">V roce 2016 došlo k uhrazení poslední splátky investičního příspěvku SVK </w:t>
      </w:r>
      <w:proofErr w:type="spellStart"/>
      <w:r w:rsidR="00730883" w:rsidRPr="000574AE">
        <w:rPr>
          <w:rFonts w:ascii="Arial" w:hAnsi="Arial" w:cs="Arial"/>
          <w:sz w:val="24"/>
        </w:rPr>
        <w:t>Šlapanicko</w:t>
      </w:r>
      <w:proofErr w:type="spellEnd"/>
      <w:r w:rsidR="00730883" w:rsidRPr="000574AE">
        <w:rPr>
          <w:rFonts w:ascii="Arial" w:hAnsi="Arial" w:cs="Arial"/>
          <w:sz w:val="24"/>
        </w:rPr>
        <w:t>.</w:t>
      </w:r>
      <w:r w:rsidR="00717BDB" w:rsidRPr="000574AE">
        <w:rPr>
          <w:rFonts w:ascii="Arial" w:hAnsi="Arial" w:cs="Arial"/>
          <w:sz w:val="24"/>
        </w:rPr>
        <w:t xml:space="preserve"> </w:t>
      </w:r>
      <w:r w:rsidR="008F4686" w:rsidRPr="000574AE">
        <w:rPr>
          <w:rFonts w:ascii="Arial" w:hAnsi="Arial" w:cs="Arial"/>
          <w:sz w:val="24"/>
        </w:rPr>
        <w:t>Mezi další závazk</w:t>
      </w:r>
      <w:r w:rsidR="00FE0961" w:rsidRPr="000574AE">
        <w:rPr>
          <w:rFonts w:ascii="Arial" w:hAnsi="Arial" w:cs="Arial"/>
          <w:sz w:val="24"/>
        </w:rPr>
        <w:t xml:space="preserve">y, které mají každoročně dopad </w:t>
      </w:r>
      <w:r w:rsidR="008F4686" w:rsidRPr="000574AE">
        <w:rPr>
          <w:rFonts w:ascii="Arial" w:hAnsi="Arial" w:cs="Arial"/>
          <w:sz w:val="24"/>
        </w:rPr>
        <w:t>do výdajů rozpočtu města</w:t>
      </w:r>
      <w:r w:rsidR="00170987" w:rsidRPr="000574AE">
        <w:rPr>
          <w:rFonts w:ascii="Arial" w:hAnsi="Arial" w:cs="Arial"/>
          <w:sz w:val="24"/>
        </w:rPr>
        <w:t>,</w:t>
      </w:r>
      <w:r w:rsidR="008F4686" w:rsidRPr="000574AE">
        <w:rPr>
          <w:rFonts w:ascii="Arial" w:hAnsi="Arial" w:cs="Arial"/>
          <w:sz w:val="24"/>
        </w:rPr>
        <w:t xml:space="preserve"> patří</w:t>
      </w:r>
      <w:r w:rsidR="00475F05" w:rsidRPr="000574AE">
        <w:rPr>
          <w:rFonts w:ascii="Arial" w:hAnsi="Arial" w:cs="Arial"/>
          <w:sz w:val="24"/>
        </w:rPr>
        <w:t xml:space="preserve"> smlouva se společností </w:t>
      </w:r>
      <w:proofErr w:type="spellStart"/>
      <w:r w:rsidR="00475F05" w:rsidRPr="000574AE">
        <w:rPr>
          <w:rFonts w:ascii="Arial" w:hAnsi="Arial" w:cs="Arial"/>
          <w:sz w:val="24"/>
        </w:rPr>
        <w:t>Sateso</w:t>
      </w:r>
      <w:proofErr w:type="spellEnd"/>
      <w:r w:rsidR="00475F05" w:rsidRPr="000574AE">
        <w:rPr>
          <w:rFonts w:ascii="Arial" w:hAnsi="Arial" w:cs="Arial"/>
          <w:sz w:val="24"/>
        </w:rPr>
        <w:t>, s.r.o. na zajišťování technických s</w:t>
      </w:r>
      <w:r w:rsidR="00FE0961" w:rsidRPr="000574AE">
        <w:rPr>
          <w:rFonts w:ascii="Arial" w:hAnsi="Arial" w:cs="Arial"/>
          <w:sz w:val="24"/>
        </w:rPr>
        <w:t>lužeb ve výš</w:t>
      </w:r>
      <w:r w:rsidR="00170987" w:rsidRPr="000574AE">
        <w:rPr>
          <w:rFonts w:ascii="Arial" w:hAnsi="Arial" w:cs="Arial"/>
          <w:sz w:val="24"/>
        </w:rPr>
        <w:t>i</w:t>
      </w:r>
      <w:r w:rsidR="00FE0961" w:rsidRPr="000574AE">
        <w:rPr>
          <w:rFonts w:ascii="Arial" w:hAnsi="Arial" w:cs="Arial"/>
          <w:sz w:val="24"/>
        </w:rPr>
        <w:t xml:space="preserve"> 4,7 mil. Kč ročně a na správu veřejného pohřebiště 145 tis. Kč ročně. Dále smlouva se společností A.S.A., spol. s r.o. na zajištění svozu komunálního odpadu 4,4 mil Kč ročně, smlouva se společností SITA</w:t>
      </w:r>
      <w:r w:rsidR="00170987" w:rsidRPr="000574AE">
        <w:rPr>
          <w:rFonts w:ascii="Arial" w:hAnsi="Arial" w:cs="Arial"/>
          <w:sz w:val="24"/>
        </w:rPr>
        <w:t xml:space="preserve"> CZ, a.s.</w:t>
      </w:r>
      <w:r w:rsidR="00FE0961" w:rsidRPr="000574AE">
        <w:rPr>
          <w:rFonts w:ascii="Arial" w:hAnsi="Arial" w:cs="Arial"/>
          <w:sz w:val="24"/>
        </w:rPr>
        <w:t xml:space="preserve"> na svoz odpadu podnikatelům 310 tis. Kč ročně</w:t>
      </w:r>
      <w:r w:rsidR="00FA5955" w:rsidRPr="000574AE">
        <w:rPr>
          <w:rFonts w:ascii="Arial" w:hAnsi="Arial" w:cs="Arial"/>
          <w:sz w:val="24"/>
        </w:rPr>
        <w:t>.</w:t>
      </w:r>
      <w:r w:rsidR="00FE0961" w:rsidRPr="000574AE">
        <w:rPr>
          <w:rFonts w:ascii="Arial" w:hAnsi="Arial" w:cs="Arial"/>
          <w:sz w:val="24"/>
        </w:rPr>
        <w:t xml:space="preserve"> </w:t>
      </w:r>
      <w:r w:rsidR="00475F05" w:rsidRPr="000574AE">
        <w:rPr>
          <w:rFonts w:ascii="Arial" w:hAnsi="Arial" w:cs="Arial"/>
          <w:sz w:val="24"/>
        </w:rPr>
        <w:t xml:space="preserve"> </w:t>
      </w:r>
      <w:r w:rsidR="008F4686" w:rsidRPr="000574AE">
        <w:rPr>
          <w:rFonts w:ascii="Arial" w:hAnsi="Arial" w:cs="Arial"/>
          <w:sz w:val="24"/>
        </w:rPr>
        <w:t>Tyto všechny i další byly v rozpočtovém výhledu zohledněny.</w:t>
      </w:r>
    </w:p>
    <w:p w:rsidR="00442921" w:rsidRPr="00BF7D93" w:rsidRDefault="00442921">
      <w:pPr>
        <w:rPr>
          <w:rFonts w:ascii="Arial" w:eastAsiaTheme="majorEastAsia" w:hAnsi="Arial" w:cstheme="majorBidi"/>
          <w:b/>
          <w:bCs/>
          <w:color w:val="FF0000"/>
          <w:sz w:val="28"/>
          <w:szCs w:val="28"/>
        </w:rPr>
      </w:pPr>
      <w:r w:rsidRPr="00BF7D93">
        <w:rPr>
          <w:color w:val="FF0000"/>
        </w:rPr>
        <w:br w:type="page"/>
      </w:r>
    </w:p>
    <w:p w:rsidR="00D2566E" w:rsidRPr="00703BAA" w:rsidRDefault="00D2566E" w:rsidP="00D2566E">
      <w:pPr>
        <w:pStyle w:val="Nadpis1"/>
        <w:numPr>
          <w:ilvl w:val="0"/>
          <w:numId w:val="1"/>
        </w:numPr>
        <w:ind w:left="284" w:hanging="284"/>
      </w:pPr>
      <w:bookmarkStart w:id="25" w:name="_Toc465944072"/>
      <w:r w:rsidRPr="00703BAA">
        <w:lastRenderedPageBreak/>
        <w:t>DLUHOVÁ SLUŽBA</w:t>
      </w:r>
      <w:bookmarkEnd w:id="25"/>
    </w:p>
    <w:p w:rsidR="008F01C4" w:rsidRPr="00703BAA" w:rsidRDefault="008F01C4" w:rsidP="00F157FC">
      <w:pPr>
        <w:spacing w:before="240" w:after="0"/>
        <w:jc w:val="both"/>
        <w:rPr>
          <w:rFonts w:ascii="Arial" w:hAnsi="Arial" w:cs="Arial"/>
          <w:sz w:val="24"/>
        </w:rPr>
      </w:pPr>
      <w:r w:rsidRPr="00703BAA">
        <w:rPr>
          <w:rFonts w:ascii="Arial" w:hAnsi="Arial" w:cs="Arial"/>
          <w:sz w:val="24"/>
        </w:rPr>
        <w:t>Úvěr zmíněný v kapitole 3 měl vliv na nárůst ukazatele dluhové služby</w:t>
      </w:r>
      <w:r w:rsidR="00703BAA" w:rsidRPr="00703BAA">
        <w:rPr>
          <w:rFonts w:ascii="Arial" w:hAnsi="Arial" w:cs="Arial"/>
          <w:sz w:val="24"/>
        </w:rPr>
        <w:t xml:space="preserve">, který se od roku 2015 pohybuje okolo 6 %. </w:t>
      </w:r>
      <w:r w:rsidRPr="00703BAA">
        <w:rPr>
          <w:rFonts w:ascii="Arial" w:hAnsi="Arial" w:cs="Arial"/>
          <w:sz w:val="24"/>
        </w:rPr>
        <w:t xml:space="preserve">V následujícím grafu je vidět vývoj ukazatele dluhové služby a </w:t>
      </w:r>
      <w:r w:rsidR="00017CCD">
        <w:rPr>
          <w:rFonts w:ascii="Arial" w:hAnsi="Arial" w:cs="Arial"/>
          <w:sz w:val="24"/>
        </w:rPr>
        <w:t>výše úvěru v letech 2010 až 2016</w:t>
      </w:r>
      <w:bookmarkStart w:id="26" w:name="_GoBack"/>
      <w:bookmarkEnd w:id="26"/>
      <w:r w:rsidRPr="00703BAA">
        <w:rPr>
          <w:rFonts w:ascii="Arial" w:hAnsi="Arial" w:cs="Arial"/>
          <w:sz w:val="24"/>
        </w:rPr>
        <w:t xml:space="preserve">. V roce 2013 město splatilo přechozí úvěr čerpaný v souvislosti s rekonstrukcí pavilonu B ZŠ Šlapanice. A v roce 2014 čerpalo město úvěr nový a to opět na investiční akce související se Základní školou Šlapanice. </w:t>
      </w:r>
      <w:r w:rsidR="00960E54" w:rsidRPr="00703BAA">
        <w:rPr>
          <w:rFonts w:ascii="Arial" w:hAnsi="Arial" w:cs="Arial"/>
          <w:sz w:val="24"/>
        </w:rPr>
        <w:t xml:space="preserve">Splacení úvěru a načerpání nového je důvodem velkého výkyvu v ukazateli dluhové služby. </w:t>
      </w:r>
    </w:p>
    <w:p w:rsidR="00F157FC" w:rsidRPr="00703BAA" w:rsidRDefault="00F157FC" w:rsidP="00F157FC">
      <w:pPr>
        <w:spacing w:after="0"/>
        <w:jc w:val="both"/>
        <w:rPr>
          <w:rFonts w:ascii="Arial" w:hAnsi="Arial" w:cs="Arial"/>
          <w:sz w:val="24"/>
        </w:rPr>
      </w:pPr>
      <w:r w:rsidRPr="00703BAA">
        <w:rPr>
          <w:rFonts w:ascii="Arial" w:hAnsi="Arial" w:cs="Arial"/>
          <w:sz w:val="24"/>
        </w:rPr>
        <w:t>Ukazatel dluhové služby je poměrem mezi dluhovou službou a dluhovou základnou. Dluhová služba zahrnuje splátky jistin úvěrů, úroky z těchto úvěrů a splátky leasingu (ten město Šlapanice nemá). Dluhovou základnu pak tvoří daňové a nedaňové příjmy a dotace souhrnného finančního vztahu.</w:t>
      </w:r>
      <w:r w:rsidR="00960E54" w:rsidRPr="00703BAA">
        <w:rPr>
          <w:rFonts w:ascii="Arial" w:hAnsi="Arial" w:cs="Arial"/>
          <w:sz w:val="24"/>
        </w:rPr>
        <w:t xml:space="preserve"> </w:t>
      </w:r>
    </w:p>
    <w:p w:rsidR="00F157FC" w:rsidRPr="00703BAA" w:rsidRDefault="00F157FC" w:rsidP="00F157FC">
      <w:pPr>
        <w:spacing w:after="0"/>
        <w:jc w:val="both"/>
        <w:rPr>
          <w:rFonts w:ascii="Arial" w:hAnsi="Arial" w:cs="Arial"/>
        </w:rPr>
      </w:pPr>
    </w:p>
    <w:p w:rsidR="00F157FC" w:rsidRPr="00703BAA" w:rsidRDefault="00F157FC" w:rsidP="00C0458C">
      <w:pPr>
        <w:pStyle w:val="Podtitul"/>
      </w:pPr>
      <w:bookmarkStart w:id="27" w:name="_Toc465944083"/>
      <w:r w:rsidRPr="00703BAA">
        <w:t xml:space="preserve">Graf č. </w:t>
      </w:r>
      <w:r w:rsidR="0044334F" w:rsidRPr="00703BAA">
        <w:t>8</w:t>
      </w:r>
      <w:r w:rsidRPr="00703BAA">
        <w:t>:Ukazatel dluhové služby v letech 2010 –</w:t>
      </w:r>
      <w:r w:rsidR="00034947" w:rsidRPr="00703BAA">
        <w:t xml:space="preserve"> 201</w:t>
      </w:r>
      <w:r w:rsidR="00703BAA" w:rsidRPr="00703BAA">
        <w:t>6</w:t>
      </w:r>
      <w:bookmarkEnd w:id="27"/>
    </w:p>
    <w:p w:rsidR="00F157FC" w:rsidRPr="00BF7D93" w:rsidRDefault="00703BAA" w:rsidP="00034947">
      <w:pPr>
        <w:spacing w:after="0"/>
        <w:jc w:val="center"/>
        <w:rPr>
          <w:rFonts w:ascii="Arial" w:hAnsi="Arial" w:cs="Arial"/>
          <w:color w:val="FF0000"/>
          <w:sz w:val="24"/>
        </w:rPr>
      </w:pPr>
      <w:r>
        <w:rPr>
          <w:noProof/>
          <w:lang w:eastAsia="cs-CZ"/>
        </w:rPr>
        <w:drawing>
          <wp:inline distT="0" distB="0" distL="0" distR="0" wp14:anchorId="75EB65B9" wp14:editId="3B5CF6F3">
            <wp:extent cx="4572000" cy="2743200"/>
            <wp:effectExtent l="0" t="0" r="19050" b="19050"/>
            <wp:docPr id="17" name="Graf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773A3" w:rsidRPr="00BF7D93" w:rsidRDefault="00B773A3" w:rsidP="00034947">
      <w:pPr>
        <w:spacing w:after="0"/>
        <w:jc w:val="center"/>
        <w:rPr>
          <w:rFonts w:ascii="Arial" w:hAnsi="Arial" w:cs="Arial"/>
          <w:color w:val="FF0000"/>
          <w:sz w:val="24"/>
        </w:rPr>
      </w:pPr>
    </w:p>
    <w:p w:rsidR="00F504B0" w:rsidRPr="00BF7D93" w:rsidRDefault="00F504B0">
      <w:pPr>
        <w:rPr>
          <w:rFonts w:ascii="Arial" w:eastAsiaTheme="majorEastAsia" w:hAnsi="Arial" w:cstheme="majorBidi"/>
          <w:b/>
          <w:bCs/>
          <w:color w:val="FF0000"/>
          <w:sz w:val="28"/>
          <w:szCs w:val="28"/>
        </w:rPr>
      </w:pPr>
      <w:r w:rsidRPr="00BF7D93">
        <w:rPr>
          <w:color w:val="FF0000"/>
        </w:rPr>
        <w:br w:type="page"/>
      </w:r>
    </w:p>
    <w:p w:rsidR="00B773A3" w:rsidRPr="003C050D" w:rsidRDefault="000A3CDE" w:rsidP="00B773A3">
      <w:pPr>
        <w:pStyle w:val="Nadpis1"/>
        <w:numPr>
          <w:ilvl w:val="0"/>
          <w:numId w:val="1"/>
        </w:numPr>
        <w:ind w:left="284" w:hanging="284"/>
      </w:pPr>
      <w:bookmarkStart w:id="28" w:name="_Toc465944073"/>
      <w:r w:rsidRPr="003C050D">
        <w:lastRenderedPageBreak/>
        <w:t>ROZPOČTOVÝ VÝHLED 201</w:t>
      </w:r>
      <w:r w:rsidR="003C050D" w:rsidRPr="003C050D">
        <w:t>7 – 2021</w:t>
      </w:r>
      <w:r w:rsidRPr="003C050D">
        <w:t xml:space="preserve"> V DATECH</w:t>
      </w:r>
      <w:bookmarkEnd w:id="28"/>
    </w:p>
    <w:p w:rsidR="003D4C2C" w:rsidRPr="003C050D" w:rsidRDefault="003D4C2C" w:rsidP="0024570F">
      <w:pPr>
        <w:spacing w:before="240"/>
        <w:jc w:val="both"/>
        <w:rPr>
          <w:rFonts w:ascii="Arial" w:hAnsi="Arial" w:cs="Arial"/>
          <w:sz w:val="24"/>
        </w:rPr>
      </w:pPr>
      <w:r w:rsidRPr="003C050D">
        <w:rPr>
          <w:rFonts w:ascii="Arial" w:hAnsi="Arial" w:cs="Arial"/>
          <w:sz w:val="24"/>
        </w:rPr>
        <w:t>V této části je na jednom místě shrnuto vše z předchozích kapitol do konkrétních čísel zachycených v přehledných tabulkách.</w:t>
      </w:r>
    </w:p>
    <w:p w:rsidR="00DC1341" w:rsidRPr="003C050D" w:rsidRDefault="00DC1341" w:rsidP="00AD10F6">
      <w:pPr>
        <w:pStyle w:val="Podtitul"/>
        <w:rPr>
          <w:rStyle w:val="Zvraznn"/>
        </w:rPr>
      </w:pPr>
      <w:bookmarkStart w:id="29" w:name="_Toc465944084"/>
      <w:r w:rsidRPr="003C050D">
        <w:rPr>
          <w:rStyle w:val="Zvraznn"/>
        </w:rPr>
        <w:t xml:space="preserve">Tabulka č. </w:t>
      </w:r>
      <w:r w:rsidR="00424DA6" w:rsidRPr="003C050D">
        <w:rPr>
          <w:rStyle w:val="Zvraznn"/>
        </w:rPr>
        <w:t>3</w:t>
      </w:r>
      <w:r w:rsidRPr="003C050D">
        <w:rPr>
          <w:rStyle w:val="Zvraznn"/>
        </w:rPr>
        <w:t xml:space="preserve">: Příjmy </w:t>
      </w:r>
      <w:r w:rsidR="00646CB4" w:rsidRPr="003C050D">
        <w:rPr>
          <w:rStyle w:val="Zvraznn"/>
        </w:rPr>
        <w:t xml:space="preserve">v letech </w:t>
      </w:r>
      <w:r w:rsidR="003C050D" w:rsidRPr="003C050D">
        <w:rPr>
          <w:rStyle w:val="Zvraznn"/>
        </w:rPr>
        <w:t>2015</w:t>
      </w:r>
      <w:r w:rsidRPr="003C050D">
        <w:rPr>
          <w:rStyle w:val="Zvraznn"/>
        </w:rPr>
        <w:t xml:space="preserve"> – 202</w:t>
      </w:r>
      <w:r w:rsidR="003C050D" w:rsidRPr="003C050D">
        <w:rPr>
          <w:rStyle w:val="Zvraznn"/>
        </w:rPr>
        <w:t>1</w:t>
      </w:r>
      <w:r w:rsidRPr="003C050D">
        <w:rPr>
          <w:rStyle w:val="Zvraznn"/>
        </w:rPr>
        <w:t xml:space="preserve"> v tis.</w:t>
      </w:r>
      <w:r w:rsidR="00442921" w:rsidRPr="003C050D">
        <w:rPr>
          <w:rStyle w:val="Zvraznn"/>
        </w:rPr>
        <w:t xml:space="preserve"> Kč</w:t>
      </w:r>
      <w:bookmarkEnd w:id="29"/>
    </w:p>
    <w:tbl>
      <w:tblPr>
        <w:tblW w:w="565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345"/>
        <w:gridCol w:w="1135"/>
        <w:gridCol w:w="1135"/>
        <w:gridCol w:w="1135"/>
        <w:gridCol w:w="1135"/>
        <w:gridCol w:w="1135"/>
        <w:gridCol w:w="1070"/>
      </w:tblGrid>
      <w:tr w:rsidR="00A9694F" w:rsidRPr="00A9694F" w:rsidTr="00A9694F">
        <w:trPr>
          <w:trHeight w:val="615"/>
          <w:jc w:val="center"/>
        </w:trPr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14B" w:rsidRPr="0085514B" w:rsidRDefault="0085514B" w:rsidP="0085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551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příjmu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14B" w:rsidRPr="0085514B" w:rsidRDefault="0085514B" w:rsidP="00855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551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Skutečnost 2015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14B" w:rsidRPr="0085514B" w:rsidRDefault="0085514B" w:rsidP="00855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551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Upravený rozpočet 2016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14B" w:rsidRPr="0085514B" w:rsidRDefault="0085514B" w:rsidP="00855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551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Výhled 2017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14B" w:rsidRPr="0085514B" w:rsidRDefault="0085514B" w:rsidP="00855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551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Výhled 2018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14B" w:rsidRPr="0085514B" w:rsidRDefault="0085514B" w:rsidP="00855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551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Výhled 2019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14B" w:rsidRPr="0085514B" w:rsidRDefault="0085514B" w:rsidP="00855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551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Výhled 2020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14B" w:rsidRPr="0085514B" w:rsidRDefault="0085514B" w:rsidP="00855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551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Výhled 2021</w:t>
            </w:r>
          </w:p>
        </w:tc>
      </w:tr>
      <w:tr w:rsidR="00A9694F" w:rsidRPr="00A9694F" w:rsidTr="00A9694F">
        <w:trPr>
          <w:trHeight w:val="300"/>
          <w:jc w:val="center"/>
        </w:trPr>
        <w:tc>
          <w:tcPr>
            <w:tcW w:w="11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14B" w:rsidRPr="0085514B" w:rsidRDefault="0085514B" w:rsidP="00855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1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Tř. 1 - Daňové příjmy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14B" w:rsidRPr="0085514B" w:rsidRDefault="0085514B" w:rsidP="00855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1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114 483,0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14B" w:rsidRPr="0085514B" w:rsidRDefault="0085514B" w:rsidP="00855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1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107 456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14B" w:rsidRPr="0085514B" w:rsidRDefault="0085514B" w:rsidP="00855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1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115 845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14B" w:rsidRPr="0085514B" w:rsidRDefault="0085514B" w:rsidP="00855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1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117 003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14B" w:rsidRPr="0085514B" w:rsidRDefault="0085514B" w:rsidP="00855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1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118 173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14B" w:rsidRPr="0085514B" w:rsidRDefault="0085514B" w:rsidP="00855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1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119 355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14B" w:rsidRPr="0085514B" w:rsidRDefault="0085514B" w:rsidP="00855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1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120 549</w:t>
            </w:r>
          </w:p>
        </w:tc>
      </w:tr>
      <w:tr w:rsidR="00A9694F" w:rsidRPr="00A9694F" w:rsidTr="00A9694F">
        <w:trPr>
          <w:trHeight w:val="300"/>
          <w:jc w:val="center"/>
        </w:trPr>
        <w:tc>
          <w:tcPr>
            <w:tcW w:w="11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14B" w:rsidRPr="0085514B" w:rsidRDefault="0085514B" w:rsidP="00855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1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Tř. 2 - Nedaňové příjmy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14B" w:rsidRPr="0085514B" w:rsidRDefault="0085514B" w:rsidP="00855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1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21 333,0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14B" w:rsidRPr="0085514B" w:rsidRDefault="0085514B" w:rsidP="00855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1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18 157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14B" w:rsidRPr="0085514B" w:rsidRDefault="0085514B" w:rsidP="00855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1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33 585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14B" w:rsidRPr="0085514B" w:rsidRDefault="0085514B" w:rsidP="00855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1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19 780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14B" w:rsidRPr="0085514B" w:rsidRDefault="0085514B" w:rsidP="00855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1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19 978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14B" w:rsidRPr="0085514B" w:rsidRDefault="0085514B" w:rsidP="00855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1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20 178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14B" w:rsidRPr="0085514B" w:rsidRDefault="0085514B" w:rsidP="00855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1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20 379</w:t>
            </w:r>
          </w:p>
        </w:tc>
      </w:tr>
      <w:tr w:rsidR="00A9694F" w:rsidRPr="00A9694F" w:rsidTr="00A9694F">
        <w:trPr>
          <w:trHeight w:val="300"/>
          <w:jc w:val="center"/>
        </w:trPr>
        <w:tc>
          <w:tcPr>
            <w:tcW w:w="11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14B" w:rsidRPr="0085514B" w:rsidRDefault="0085514B" w:rsidP="00855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1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Tř. 3 - Kapitálové příjmy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14B" w:rsidRPr="0085514B" w:rsidRDefault="0085514B" w:rsidP="00855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1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848,0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14B" w:rsidRPr="0085514B" w:rsidRDefault="0085514B" w:rsidP="00855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1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1 534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14B" w:rsidRPr="0085514B" w:rsidRDefault="0085514B" w:rsidP="00855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1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14B" w:rsidRPr="0085514B" w:rsidRDefault="0085514B" w:rsidP="00855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1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14B" w:rsidRPr="0085514B" w:rsidRDefault="0085514B" w:rsidP="00855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1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14B" w:rsidRPr="0085514B" w:rsidRDefault="0085514B" w:rsidP="00855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1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14B" w:rsidRPr="0085514B" w:rsidRDefault="0085514B" w:rsidP="00855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1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</w:t>
            </w:r>
          </w:p>
        </w:tc>
      </w:tr>
      <w:tr w:rsidR="00A9694F" w:rsidRPr="00A9694F" w:rsidTr="00A9694F">
        <w:trPr>
          <w:trHeight w:val="300"/>
          <w:jc w:val="center"/>
        </w:trPr>
        <w:tc>
          <w:tcPr>
            <w:tcW w:w="11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14B" w:rsidRPr="0085514B" w:rsidRDefault="0085514B" w:rsidP="00855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1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Tř. 4 - Přijaté transfery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14B" w:rsidRPr="0085514B" w:rsidRDefault="0085514B" w:rsidP="00855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1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79 169,0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14B" w:rsidRPr="0085514B" w:rsidRDefault="0085514B" w:rsidP="00855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1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57 757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14B" w:rsidRPr="0085514B" w:rsidRDefault="0085514B" w:rsidP="00855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1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51 802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14B" w:rsidRPr="0085514B" w:rsidRDefault="0085514B" w:rsidP="00855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1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50 500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14B" w:rsidRPr="0085514B" w:rsidRDefault="0085514B" w:rsidP="00855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1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50 500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14B" w:rsidRPr="0085514B" w:rsidRDefault="0085514B" w:rsidP="00855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1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50 500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14B" w:rsidRPr="0085514B" w:rsidRDefault="0085514B" w:rsidP="00855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1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50 500</w:t>
            </w:r>
          </w:p>
        </w:tc>
      </w:tr>
      <w:tr w:rsidR="00A9694F" w:rsidRPr="00A9694F" w:rsidTr="00A9694F">
        <w:trPr>
          <w:trHeight w:val="315"/>
          <w:jc w:val="center"/>
        </w:trPr>
        <w:tc>
          <w:tcPr>
            <w:tcW w:w="111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14B" w:rsidRPr="0085514B" w:rsidRDefault="0085514B" w:rsidP="008551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85514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v tom: investiční transfery (účelové dotace)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14B" w:rsidRPr="0085514B" w:rsidRDefault="0085514B" w:rsidP="0085514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85514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21 896,0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14B" w:rsidRPr="0085514B" w:rsidRDefault="0085514B" w:rsidP="0085514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85514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4 037,0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14B" w:rsidRPr="0085514B" w:rsidRDefault="0085514B" w:rsidP="0085514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85514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14B" w:rsidRPr="0085514B" w:rsidRDefault="0085514B" w:rsidP="0085514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85514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14B" w:rsidRPr="0085514B" w:rsidRDefault="0085514B" w:rsidP="0085514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85514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14B" w:rsidRPr="0085514B" w:rsidRDefault="0085514B" w:rsidP="0085514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85514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14B" w:rsidRPr="0085514B" w:rsidRDefault="0085514B" w:rsidP="0085514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85514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</w:tr>
      <w:tr w:rsidR="00A9694F" w:rsidRPr="00A9694F" w:rsidTr="00A9694F">
        <w:trPr>
          <w:trHeight w:val="315"/>
          <w:jc w:val="center"/>
        </w:trPr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14B" w:rsidRPr="0085514B" w:rsidRDefault="0085514B" w:rsidP="0085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551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příjmy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14B" w:rsidRPr="0085514B" w:rsidRDefault="0085514B" w:rsidP="008551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551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215 833,0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14B" w:rsidRPr="0085514B" w:rsidRDefault="0085514B" w:rsidP="008551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551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184 904,0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14B" w:rsidRPr="0085514B" w:rsidRDefault="0085514B" w:rsidP="008551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551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201 836,5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14B" w:rsidRPr="0085514B" w:rsidRDefault="0085514B" w:rsidP="008551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551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187 683,5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14B" w:rsidRPr="0085514B" w:rsidRDefault="0085514B" w:rsidP="008551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551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189 051,3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14B" w:rsidRPr="0085514B" w:rsidRDefault="0085514B" w:rsidP="008551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551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190 432,8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4B" w:rsidRPr="0085514B" w:rsidRDefault="0085514B" w:rsidP="008551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551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191 828,1</w:t>
            </w:r>
          </w:p>
        </w:tc>
      </w:tr>
    </w:tbl>
    <w:p w:rsidR="00AD10F6" w:rsidRPr="00097C9D" w:rsidRDefault="00AD10F6" w:rsidP="00AD10F6">
      <w:pPr>
        <w:pStyle w:val="Podtitul"/>
        <w:rPr>
          <w:rStyle w:val="Zvraznn"/>
        </w:rPr>
      </w:pPr>
    </w:p>
    <w:p w:rsidR="007C7799" w:rsidRPr="00097C9D" w:rsidRDefault="007C7799" w:rsidP="00D505D4">
      <w:pPr>
        <w:pStyle w:val="Podtitul"/>
        <w:rPr>
          <w:rStyle w:val="Zvraznn"/>
        </w:rPr>
      </w:pPr>
      <w:bookmarkStart w:id="30" w:name="_Toc465944085"/>
      <w:r w:rsidRPr="00097C9D">
        <w:rPr>
          <w:rStyle w:val="Zvraznn"/>
        </w:rPr>
        <w:t xml:space="preserve">Tabulka č. </w:t>
      </w:r>
      <w:r w:rsidR="00425E13">
        <w:rPr>
          <w:rStyle w:val="Zvraznn"/>
        </w:rPr>
        <w:t>4</w:t>
      </w:r>
      <w:r w:rsidRPr="00097C9D">
        <w:rPr>
          <w:rStyle w:val="Zvraznn"/>
        </w:rPr>
        <w:t>: Financování</w:t>
      </w:r>
      <w:r w:rsidR="00DC1341" w:rsidRPr="00097C9D">
        <w:rPr>
          <w:rStyle w:val="Zvraznn"/>
        </w:rPr>
        <w:t xml:space="preserve"> </w:t>
      </w:r>
      <w:r w:rsidR="00646CB4" w:rsidRPr="00097C9D">
        <w:rPr>
          <w:rStyle w:val="Zvraznn"/>
        </w:rPr>
        <w:t xml:space="preserve">v letech </w:t>
      </w:r>
      <w:r w:rsidR="00097C9D" w:rsidRPr="00097C9D">
        <w:rPr>
          <w:rStyle w:val="Zvraznn"/>
        </w:rPr>
        <w:t>2015 – 2021</w:t>
      </w:r>
      <w:r w:rsidR="00DC1341" w:rsidRPr="00097C9D">
        <w:rPr>
          <w:rStyle w:val="Zvraznn"/>
        </w:rPr>
        <w:t xml:space="preserve"> v tis.</w:t>
      </w:r>
      <w:r w:rsidR="00442921" w:rsidRPr="00097C9D">
        <w:rPr>
          <w:rStyle w:val="Zvraznn"/>
        </w:rPr>
        <w:t xml:space="preserve"> Kč</w:t>
      </w:r>
      <w:bookmarkEnd w:id="30"/>
    </w:p>
    <w:tbl>
      <w:tblPr>
        <w:tblW w:w="5386" w:type="pct"/>
        <w:jc w:val="center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1282"/>
        <w:gridCol w:w="1131"/>
        <w:gridCol w:w="990"/>
        <w:gridCol w:w="994"/>
        <w:gridCol w:w="990"/>
        <w:gridCol w:w="1183"/>
        <w:gridCol w:w="1086"/>
      </w:tblGrid>
      <w:tr w:rsidR="003E5836" w:rsidRPr="00A9694F" w:rsidTr="00EF0B51">
        <w:trPr>
          <w:trHeight w:val="585"/>
          <w:jc w:val="center"/>
        </w:trPr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36" w:rsidRPr="003E5836" w:rsidRDefault="003E5836" w:rsidP="003E5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E58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Název 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36" w:rsidRPr="003E5836" w:rsidRDefault="003E5836" w:rsidP="003E5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E58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Skutečnost 2015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36" w:rsidRPr="003E5836" w:rsidRDefault="003E5836" w:rsidP="003E5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E58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Rozpočet 2016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36" w:rsidRPr="003E5836" w:rsidRDefault="003E5836" w:rsidP="003E5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E58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Výhled 2017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36" w:rsidRPr="003E5836" w:rsidRDefault="003E5836" w:rsidP="003E5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E58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Výhled 2018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36" w:rsidRPr="003E5836" w:rsidRDefault="003E5836" w:rsidP="003E5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E58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Výhled 2019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36" w:rsidRPr="003E5836" w:rsidRDefault="003E5836" w:rsidP="003E5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E58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Výhled 2020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36" w:rsidRPr="003E5836" w:rsidRDefault="003E5836" w:rsidP="003E5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E58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Výhled 2021</w:t>
            </w:r>
          </w:p>
        </w:tc>
      </w:tr>
      <w:tr w:rsidR="003E5836" w:rsidRPr="00A9694F" w:rsidTr="00EF0B51">
        <w:trPr>
          <w:trHeight w:val="300"/>
          <w:jc w:val="center"/>
        </w:trPr>
        <w:tc>
          <w:tcPr>
            <w:tcW w:w="11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36" w:rsidRPr="003E5836" w:rsidRDefault="003E5836" w:rsidP="003E5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E58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Čerpání úvěrů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36" w:rsidRPr="003E5836" w:rsidRDefault="000A5E0E" w:rsidP="003E58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69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36" w:rsidRPr="003E5836" w:rsidRDefault="003E5836" w:rsidP="003E58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E58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36" w:rsidRPr="003E5836" w:rsidRDefault="003E5836" w:rsidP="003E58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E58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36" w:rsidRPr="003E5836" w:rsidRDefault="003E5836" w:rsidP="003E58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E58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36" w:rsidRPr="003E5836" w:rsidRDefault="003E5836" w:rsidP="003E58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E58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36" w:rsidRPr="003E5836" w:rsidRDefault="003E5836" w:rsidP="003E58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E58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36" w:rsidRPr="003E5836" w:rsidRDefault="003E5836" w:rsidP="003E58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E58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</w:tr>
      <w:tr w:rsidR="003E5836" w:rsidRPr="00A9694F" w:rsidTr="00EF0B51">
        <w:trPr>
          <w:trHeight w:val="300"/>
          <w:jc w:val="center"/>
        </w:trPr>
        <w:tc>
          <w:tcPr>
            <w:tcW w:w="11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36" w:rsidRPr="003E5836" w:rsidRDefault="003E5836" w:rsidP="003E5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E58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Splátky úvěrů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36" w:rsidRPr="003E5836" w:rsidRDefault="000A5E0E" w:rsidP="000A5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69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-10 000</w:t>
            </w:r>
            <w:r w:rsidR="003E5836" w:rsidRPr="003E58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36" w:rsidRPr="003E5836" w:rsidRDefault="003E5836" w:rsidP="003E58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E58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-10 000,0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36" w:rsidRPr="003E5836" w:rsidRDefault="003E5836" w:rsidP="003E58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E58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-10 000,0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36" w:rsidRPr="003E5836" w:rsidRDefault="003E5836" w:rsidP="003E58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E58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-10 000,0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36" w:rsidRPr="003E5836" w:rsidRDefault="003E5836" w:rsidP="003E58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E58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-10 000,0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36" w:rsidRPr="003E5836" w:rsidRDefault="003E5836" w:rsidP="003E58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E58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-10 000,0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36" w:rsidRPr="003E5836" w:rsidRDefault="003E5836" w:rsidP="003E58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E58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-10 000,0</w:t>
            </w:r>
          </w:p>
        </w:tc>
      </w:tr>
      <w:tr w:rsidR="003E5836" w:rsidRPr="00A9694F" w:rsidTr="00EF0B51">
        <w:trPr>
          <w:trHeight w:val="315"/>
          <w:jc w:val="center"/>
        </w:trPr>
        <w:tc>
          <w:tcPr>
            <w:tcW w:w="114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36" w:rsidRPr="003E5836" w:rsidRDefault="003E5836" w:rsidP="003E583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3E58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z toho:  regenerace objektů ZŠ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36" w:rsidRPr="003E5836" w:rsidRDefault="000A5E0E" w:rsidP="003E58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E58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-10 000,0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36" w:rsidRPr="003E5836" w:rsidRDefault="003E5836" w:rsidP="003E58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E58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-10 000,0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36" w:rsidRPr="003E5836" w:rsidRDefault="003E5836" w:rsidP="003E58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E58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-10 000,0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36" w:rsidRPr="003E5836" w:rsidRDefault="003E5836" w:rsidP="003E58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E58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-10 000,0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36" w:rsidRPr="003E5836" w:rsidRDefault="003E5836" w:rsidP="003E58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E58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-10 000,0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36" w:rsidRPr="003E5836" w:rsidRDefault="003E5836" w:rsidP="003E58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E58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-10 000,0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36" w:rsidRPr="003E5836" w:rsidRDefault="003E5836" w:rsidP="003E58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E58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-10 000,0</w:t>
            </w:r>
          </w:p>
        </w:tc>
      </w:tr>
      <w:tr w:rsidR="003E5836" w:rsidRPr="00A9694F" w:rsidTr="00EF0B51">
        <w:trPr>
          <w:trHeight w:val="315"/>
          <w:jc w:val="center"/>
        </w:trPr>
        <w:tc>
          <w:tcPr>
            <w:tcW w:w="114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36" w:rsidRPr="003E5836" w:rsidRDefault="003E5836" w:rsidP="003E5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E58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Změna stavu (použití) </w:t>
            </w:r>
            <w:proofErr w:type="spellStart"/>
            <w:r w:rsidRPr="003E58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prostř</w:t>
            </w:r>
            <w:proofErr w:type="spellEnd"/>
            <w:r w:rsidRPr="003E58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minulých let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36" w:rsidRPr="003E5836" w:rsidRDefault="00A87A07" w:rsidP="003E58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69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-23 484,0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36" w:rsidRPr="003E5836" w:rsidRDefault="003E5836" w:rsidP="003E58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E58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44 327,0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36" w:rsidRPr="003E5836" w:rsidRDefault="003E5836" w:rsidP="00FD15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E58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</w:t>
            </w:r>
            <w:r w:rsidR="00FD15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591,2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36" w:rsidRPr="003E5836" w:rsidRDefault="00FD15A0" w:rsidP="003E58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22 800,0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36" w:rsidRPr="003E5836" w:rsidRDefault="00FD15A0" w:rsidP="003E58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18 087,0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36" w:rsidRPr="003E5836" w:rsidRDefault="00FD15A0" w:rsidP="003E58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18 376,9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36" w:rsidRPr="003E5836" w:rsidRDefault="00FD15A0" w:rsidP="003E58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18 696,6</w:t>
            </w:r>
          </w:p>
        </w:tc>
      </w:tr>
      <w:tr w:rsidR="003E5836" w:rsidRPr="00A9694F" w:rsidTr="00EF0B51">
        <w:trPr>
          <w:trHeight w:val="315"/>
          <w:jc w:val="center"/>
        </w:trPr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36" w:rsidRPr="003E5836" w:rsidRDefault="003E5836" w:rsidP="003E58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E58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Financování celkem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36" w:rsidRPr="003E5836" w:rsidRDefault="003E5836" w:rsidP="003E58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E58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33 484,0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36" w:rsidRPr="003E5836" w:rsidRDefault="003E5836" w:rsidP="003E58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E58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-34 327,0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36" w:rsidRPr="003E5836" w:rsidRDefault="003E5836" w:rsidP="00FD1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E58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-55</w:t>
            </w:r>
            <w:r w:rsidR="00FD15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591,2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36" w:rsidRPr="003E5836" w:rsidRDefault="003E5836" w:rsidP="00FD1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E58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</w:t>
            </w:r>
            <w:r w:rsidR="00FD15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12 800,0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36" w:rsidRPr="003E5836" w:rsidRDefault="003E5836" w:rsidP="00FD1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E58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</w:t>
            </w:r>
            <w:r w:rsidR="00FD15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8 087,0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36" w:rsidRPr="003E5836" w:rsidRDefault="003E5836" w:rsidP="00FD1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E58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</w:t>
            </w:r>
            <w:r w:rsidR="00FD15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8 376,9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36" w:rsidRPr="003E5836" w:rsidRDefault="003E5836" w:rsidP="00FD1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E58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</w:t>
            </w:r>
            <w:r w:rsidR="00FD15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8 696,6</w:t>
            </w:r>
          </w:p>
        </w:tc>
      </w:tr>
    </w:tbl>
    <w:p w:rsidR="0024570F" w:rsidRPr="00744B82" w:rsidRDefault="0024570F" w:rsidP="0024570F">
      <w:pPr>
        <w:spacing w:before="240"/>
        <w:jc w:val="both"/>
        <w:rPr>
          <w:rFonts w:ascii="Arial" w:hAnsi="Arial" w:cs="Arial"/>
          <w:sz w:val="24"/>
        </w:rPr>
      </w:pPr>
      <w:r w:rsidRPr="00744B82">
        <w:rPr>
          <w:rFonts w:ascii="Arial" w:hAnsi="Arial" w:cs="Arial"/>
          <w:sz w:val="24"/>
        </w:rPr>
        <w:t xml:space="preserve">Dopad takto zpracovaného rozpočtového výhledu do stavu prostředků na bankovních účtech ukazuje tabulka č. </w:t>
      </w:r>
      <w:r w:rsidR="00C21DFF">
        <w:rPr>
          <w:rFonts w:ascii="Arial" w:hAnsi="Arial" w:cs="Arial"/>
          <w:sz w:val="24"/>
        </w:rPr>
        <w:t>5</w:t>
      </w:r>
      <w:r w:rsidRPr="00744B82">
        <w:rPr>
          <w:rFonts w:ascii="Arial" w:hAnsi="Arial" w:cs="Arial"/>
          <w:sz w:val="24"/>
        </w:rPr>
        <w:t>.</w:t>
      </w:r>
    </w:p>
    <w:p w:rsidR="0024570F" w:rsidRPr="00744B82" w:rsidRDefault="0024570F" w:rsidP="00D505D4">
      <w:pPr>
        <w:pStyle w:val="Podtitul"/>
        <w:rPr>
          <w:rStyle w:val="Zvraznn"/>
        </w:rPr>
      </w:pPr>
      <w:bookmarkStart w:id="31" w:name="_Toc465944086"/>
      <w:r w:rsidRPr="00744B82">
        <w:rPr>
          <w:rStyle w:val="Zvraznn"/>
        </w:rPr>
        <w:t xml:space="preserve">Tabulka č. </w:t>
      </w:r>
      <w:r w:rsidR="00425E13">
        <w:rPr>
          <w:rStyle w:val="Zvraznn"/>
        </w:rPr>
        <w:t>5</w:t>
      </w:r>
      <w:r w:rsidRPr="00744B82">
        <w:rPr>
          <w:rStyle w:val="Zvraznn"/>
        </w:rPr>
        <w:t>: Vývoj stavu prostředků na bankovních účtech</w:t>
      </w:r>
      <w:bookmarkEnd w:id="31"/>
    </w:p>
    <w:tbl>
      <w:tblPr>
        <w:tblW w:w="4617" w:type="pct"/>
        <w:jc w:val="center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270"/>
        <w:gridCol w:w="1276"/>
        <w:gridCol w:w="851"/>
        <w:gridCol w:w="992"/>
        <w:gridCol w:w="992"/>
        <w:gridCol w:w="992"/>
        <w:gridCol w:w="851"/>
      </w:tblGrid>
      <w:tr w:rsidR="00A9694F" w:rsidRPr="00A9694F" w:rsidTr="00A9694F">
        <w:trPr>
          <w:trHeight w:val="780"/>
          <w:jc w:val="center"/>
        </w:trPr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4B2" w:rsidRPr="006F44B2" w:rsidRDefault="006F44B2" w:rsidP="006F44B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6F44B2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4B2" w:rsidRPr="006F44B2" w:rsidRDefault="006F44B2" w:rsidP="006F44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6F44B2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Skutečnost 31.12.2015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4B2" w:rsidRPr="006F44B2" w:rsidRDefault="006F44B2" w:rsidP="006F44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6F44B2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Očekávaná skutečnost 2016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4B2" w:rsidRPr="006F44B2" w:rsidRDefault="006F44B2" w:rsidP="006F44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6F44B2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Výhled 2017</w:t>
            </w:r>
          </w:p>
        </w:tc>
        <w:tc>
          <w:tcPr>
            <w:tcW w:w="5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4B2" w:rsidRPr="006F44B2" w:rsidRDefault="006F44B2" w:rsidP="006F44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6F44B2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Výhled 2018</w:t>
            </w:r>
          </w:p>
        </w:tc>
        <w:tc>
          <w:tcPr>
            <w:tcW w:w="5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4B2" w:rsidRPr="006F44B2" w:rsidRDefault="006F44B2" w:rsidP="006F44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6F44B2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Výhled 2019</w:t>
            </w:r>
          </w:p>
        </w:tc>
        <w:tc>
          <w:tcPr>
            <w:tcW w:w="5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4B2" w:rsidRPr="006F44B2" w:rsidRDefault="006F44B2" w:rsidP="006F44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6F44B2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Výhled 2020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4B2" w:rsidRPr="006F44B2" w:rsidRDefault="006F44B2" w:rsidP="006F44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6F44B2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Výhled 2021</w:t>
            </w:r>
          </w:p>
        </w:tc>
      </w:tr>
      <w:tr w:rsidR="00A9694F" w:rsidRPr="00A9694F" w:rsidTr="00A9694F">
        <w:trPr>
          <w:trHeight w:val="315"/>
          <w:jc w:val="center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B2" w:rsidRPr="006F44B2" w:rsidRDefault="006F44B2" w:rsidP="006F44B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6F44B2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Zůstatek bankovních účtů 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4B2" w:rsidRPr="006F44B2" w:rsidRDefault="006F44B2" w:rsidP="006F44B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cs-CZ"/>
              </w:rPr>
            </w:pPr>
            <w:r w:rsidRPr="006F44B2">
              <w:rPr>
                <w:rFonts w:ascii="Arial" w:eastAsia="Times New Roman" w:hAnsi="Arial" w:cs="Arial"/>
                <w:bCs/>
                <w:lang w:eastAsia="cs-CZ"/>
              </w:rPr>
              <w:t>101 981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4B2" w:rsidRPr="006F44B2" w:rsidRDefault="006F44B2" w:rsidP="006F44B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cs-CZ"/>
              </w:rPr>
            </w:pPr>
            <w:r w:rsidRPr="006F44B2">
              <w:rPr>
                <w:rFonts w:ascii="Arial" w:eastAsia="Times New Roman" w:hAnsi="Arial" w:cs="Arial"/>
                <w:bCs/>
                <w:lang w:eastAsia="cs-CZ"/>
              </w:rPr>
              <w:t>120 000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4B2" w:rsidRPr="006F44B2" w:rsidRDefault="00210E28" w:rsidP="006F44B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cs-CZ"/>
              </w:rPr>
            </w:pPr>
            <w:r>
              <w:rPr>
                <w:rFonts w:ascii="Arial" w:eastAsia="Times New Roman" w:hAnsi="Arial" w:cs="Arial"/>
                <w:bCs/>
                <w:lang w:eastAsia="cs-CZ"/>
              </w:rPr>
              <w:t>97 200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4B2" w:rsidRPr="006F44B2" w:rsidRDefault="00210E28" w:rsidP="006F44B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cs-CZ"/>
              </w:rPr>
            </w:pPr>
            <w:r>
              <w:rPr>
                <w:rFonts w:ascii="Arial" w:eastAsia="Times New Roman" w:hAnsi="Arial" w:cs="Arial"/>
                <w:bCs/>
                <w:lang w:eastAsia="cs-CZ"/>
              </w:rPr>
              <w:t>79 113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4B2" w:rsidRPr="006F44B2" w:rsidRDefault="00210E28" w:rsidP="006F44B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cs-CZ"/>
              </w:rPr>
            </w:pPr>
            <w:r>
              <w:rPr>
                <w:rFonts w:ascii="Arial" w:eastAsia="Times New Roman" w:hAnsi="Arial" w:cs="Arial"/>
                <w:bCs/>
                <w:lang w:eastAsia="cs-CZ"/>
              </w:rPr>
              <w:t>60 736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4B2" w:rsidRPr="006F44B2" w:rsidRDefault="00210E28" w:rsidP="006F44B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cs-CZ"/>
              </w:rPr>
            </w:pPr>
            <w:r>
              <w:rPr>
                <w:rFonts w:ascii="Arial" w:eastAsia="Times New Roman" w:hAnsi="Arial" w:cs="Arial"/>
                <w:bCs/>
                <w:lang w:eastAsia="cs-CZ"/>
              </w:rPr>
              <w:t>42 066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4B2" w:rsidRPr="006F44B2" w:rsidRDefault="00210E28" w:rsidP="006F44B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cs-CZ"/>
              </w:rPr>
            </w:pPr>
            <w:r>
              <w:rPr>
                <w:rFonts w:ascii="Arial" w:eastAsia="Times New Roman" w:hAnsi="Arial" w:cs="Arial"/>
                <w:bCs/>
                <w:lang w:eastAsia="cs-CZ"/>
              </w:rPr>
              <w:t>32 066</w:t>
            </w:r>
          </w:p>
        </w:tc>
      </w:tr>
    </w:tbl>
    <w:p w:rsidR="00425E13" w:rsidRDefault="00425E13" w:rsidP="00744B82">
      <w:pPr>
        <w:spacing w:before="240"/>
        <w:rPr>
          <w:rFonts w:ascii="Arial" w:hAnsi="Arial" w:cs="Arial"/>
          <w:color w:val="FF0000"/>
          <w:sz w:val="24"/>
        </w:rPr>
      </w:pPr>
    </w:p>
    <w:p w:rsidR="00425E13" w:rsidRDefault="00425E13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br w:type="page"/>
      </w:r>
    </w:p>
    <w:p w:rsidR="00425E13" w:rsidRDefault="00425E13" w:rsidP="00425E13">
      <w:pPr>
        <w:pStyle w:val="Podtitul"/>
        <w:rPr>
          <w:rStyle w:val="Zvraznn"/>
        </w:rPr>
      </w:pPr>
      <w:bookmarkStart w:id="32" w:name="_Toc465944087"/>
      <w:r w:rsidRPr="00097C9D">
        <w:rPr>
          <w:rStyle w:val="Zvraznn"/>
        </w:rPr>
        <w:lastRenderedPageBreak/>
        <w:t xml:space="preserve">Tabulka č. </w:t>
      </w:r>
      <w:r>
        <w:rPr>
          <w:rStyle w:val="Zvraznn"/>
        </w:rPr>
        <w:t>6</w:t>
      </w:r>
      <w:r w:rsidRPr="00097C9D">
        <w:rPr>
          <w:rStyle w:val="Zvraznn"/>
        </w:rPr>
        <w:t>: Výdaje v letech 2015 – 2021 v tis. Kč</w:t>
      </w:r>
      <w:bookmarkEnd w:id="32"/>
    </w:p>
    <w:tbl>
      <w:tblPr>
        <w:tblW w:w="6001" w:type="pct"/>
        <w:jc w:val="center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2"/>
        <w:gridCol w:w="1277"/>
        <w:gridCol w:w="1133"/>
        <w:gridCol w:w="1132"/>
        <w:gridCol w:w="1132"/>
        <w:gridCol w:w="1134"/>
        <w:gridCol w:w="1132"/>
        <w:gridCol w:w="1134"/>
      </w:tblGrid>
      <w:tr w:rsidR="00747159" w:rsidRPr="00A9694F" w:rsidTr="00747159">
        <w:trPr>
          <w:trHeight w:val="615"/>
          <w:jc w:val="center"/>
        </w:trPr>
        <w:tc>
          <w:tcPr>
            <w:tcW w:w="13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 výdajů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Skutečnost 2015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Upravený rozpočet 2016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Výhled 2017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Výhled 2018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Výhled 2019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Výhled 2020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Výhled 2021</w:t>
            </w:r>
          </w:p>
        </w:tc>
      </w:tr>
      <w:tr w:rsidR="00747159" w:rsidRPr="00A9694F" w:rsidTr="00747159">
        <w:trPr>
          <w:trHeight w:val="300"/>
          <w:jc w:val="center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Tř. 5 - Běžné výdaje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129 964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162 192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EAC" w:rsidRPr="00737EAC" w:rsidRDefault="002475F2" w:rsidP="00247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163</w:t>
            </w:r>
            <w:r w:rsidR="00737EAC" w:rsidRPr="00737E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  <w:r w:rsidR="00737EAC" w:rsidRPr="00737E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EAC" w:rsidRPr="00737EAC" w:rsidRDefault="002475F2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165 483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EAC" w:rsidRPr="00737EAC" w:rsidRDefault="002475F2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167 138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EAC" w:rsidRPr="00737EAC" w:rsidRDefault="002475F2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168 810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2475F2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170 498</w:t>
            </w:r>
          </w:p>
        </w:tc>
      </w:tr>
      <w:tr w:rsidR="00747159" w:rsidRPr="00A9694F" w:rsidTr="00747159">
        <w:trPr>
          <w:trHeight w:val="300"/>
          <w:jc w:val="center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z toho: 6171 Místní správa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61 690,4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76 653,8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2475F2" w:rsidP="002475F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78</w:t>
            </w:r>
            <w:r w:rsidR="00737EAC"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9</w:t>
            </w:r>
            <w:r w:rsidR="00737EAC"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60,7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2475F2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79 750,3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2475F2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80 547,8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2475F2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81 353,3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2475F2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82 166,8</w:t>
            </w:r>
          </w:p>
        </w:tc>
      </w:tr>
      <w:tr w:rsidR="00747159" w:rsidRPr="00A9694F" w:rsidTr="00747159">
        <w:trPr>
          <w:trHeight w:val="300"/>
          <w:jc w:val="center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             6112 Zastupitelstvo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2 700,8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3 218,2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2 924,5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2 953,7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2 781,8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3 012,8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3 042,9</w:t>
            </w:r>
          </w:p>
        </w:tc>
      </w:tr>
      <w:tr w:rsidR="00747159" w:rsidRPr="00A9694F" w:rsidTr="00747159">
        <w:trPr>
          <w:trHeight w:val="300"/>
          <w:jc w:val="center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z toho: mzdové prostředky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cs-CZ"/>
              </w:rPr>
              <w:t> </w:t>
            </w:r>
          </w:p>
        </w:tc>
      </w:tr>
      <w:tr w:rsidR="00747159" w:rsidRPr="00A9694F" w:rsidTr="00747159">
        <w:trPr>
          <w:trHeight w:val="300"/>
          <w:jc w:val="center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              opravy a udržování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3 157,2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6 368,0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12 689,0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6 000,0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6 000,0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6 000,0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6 000,0</w:t>
            </w:r>
          </w:p>
        </w:tc>
      </w:tr>
      <w:tr w:rsidR="00747159" w:rsidRPr="00A9694F" w:rsidTr="00747159">
        <w:trPr>
          <w:trHeight w:val="300"/>
          <w:jc w:val="center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           další rozvoj zeleně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1 000,0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500,0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500,0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500,0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500,0</w:t>
            </w:r>
          </w:p>
        </w:tc>
      </w:tr>
      <w:tr w:rsidR="00747159" w:rsidRPr="00A9694F" w:rsidTr="00747159">
        <w:trPr>
          <w:trHeight w:val="300"/>
          <w:jc w:val="center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Tř. 6 - Kapitálové výdaje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52 385,0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57 039,0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2475F2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93 5</w:t>
            </w:r>
            <w:r w:rsidR="00737EAC" w:rsidRPr="00737E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35 000,0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30 000,0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30 000,0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30 000,0</w:t>
            </w:r>
          </w:p>
        </w:tc>
      </w:tr>
      <w:tr w:rsidR="00747159" w:rsidRPr="00A9694F" w:rsidTr="00747159">
        <w:trPr>
          <w:trHeight w:val="300"/>
          <w:jc w:val="center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z toho: </w:t>
            </w:r>
            <w:proofErr w:type="spellStart"/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přísp.SVK</w:t>
            </w:r>
            <w:proofErr w:type="spellEnd"/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Šlapanicko</w:t>
            </w:r>
            <w:proofErr w:type="spell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7 937,7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3 563,1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</w:tr>
      <w:tr w:rsidR="00747159" w:rsidRPr="00A9694F" w:rsidTr="00747159">
        <w:trPr>
          <w:trHeight w:val="300"/>
          <w:jc w:val="center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kruhový objezd Podolí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1 266,0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</w:tr>
      <w:tr w:rsidR="00747159" w:rsidRPr="00A9694F" w:rsidTr="00747159">
        <w:trPr>
          <w:trHeight w:val="300"/>
          <w:jc w:val="center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Atletický areál ZŠ Šlapanice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14 428,0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</w:tr>
      <w:tr w:rsidR="00747159" w:rsidRPr="00A9694F" w:rsidTr="00747159">
        <w:trPr>
          <w:trHeight w:val="300"/>
          <w:jc w:val="center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C207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KD Bedřichovice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8 766,0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</w:tr>
      <w:tr w:rsidR="00747159" w:rsidRPr="00A9694F" w:rsidTr="00747159">
        <w:trPr>
          <w:trHeight w:val="300"/>
          <w:jc w:val="center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C207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Bedřichovice nad Temží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11 534,7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</w:tr>
      <w:tr w:rsidR="00747159" w:rsidRPr="00A9694F" w:rsidTr="00747159">
        <w:trPr>
          <w:trHeight w:val="300"/>
          <w:jc w:val="center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C207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klimatizace OPUŠTĚNÁ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6 100,0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</w:tr>
      <w:tr w:rsidR="00747159" w:rsidRPr="00A9694F" w:rsidTr="00747159">
        <w:trPr>
          <w:trHeight w:val="300"/>
          <w:jc w:val="center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Kotle bytové domy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2 600,0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</w:tr>
      <w:tr w:rsidR="00747159" w:rsidRPr="00A9694F" w:rsidTr="00747159">
        <w:trPr>
          <w:trHeight w:val="300"/>
          <w:jc w:val="center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C207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Veřejné osvětlení energetické úspory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1 500,0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</w:tr>
      <w:tr w:rsidR="00747159" w:rsidRPr="00A9694F" w:rsidTr="00747159">
        <w:trPr>
          <w:trHeight w:val="300"/>
          <w:jc w:val="center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čistička odpadních voda skládka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5 000,0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</w:tr>
      <w:tr w:rsidR="00747159" w:rsidRPr="00A9694F" w:rsidTr="00747159">
        <w:trPr>
          <w:trHeight w:val="300"/>
          <w:jc w:val="center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Silnice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25 800,0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4 000,0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12 000,0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12 000,0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12 000,0</w:t>
            </w:r>
          </w:p>
        </w:tc>
      </w:tr>
      <w:tr w:rsidR="00747159" w:rsidRPr="00A9694F" w:rsidTr="00747159">
        <w:trPr>
          <w:trHeight w:val="300"/>
          <w:jc w:val="center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Parkování Nádražní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11 000,0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9 000,0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</w:tr>
      <w:tr w:rsidR="00747159" w:rsidRPr="00A9694F" w:rsidTr="00747159">
        <w:trPr>
          <w:trHeight w:val="300"/>
          <w:jc w:val="center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Osvětlení ZŠ Šlapanice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2 049,8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2 000,0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1 000,0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</w:tr>
      <w:tr w:rsidR="00747159" w:rsidRPr="00A9694F" w:rsidTr="00747159">
        <w:trPr>
          <w:trHeight w:val="300"/>
          <w:jc w:val="center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Jídelna ZŠ Šlapanice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4 634,0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</w:tr>
      <w:tr w:rsidR="00747159" w:rsidRPr="00A9694F" w:rsidTr="00747159">
        <w:trPr>
          <w:trHeight w:val="300"/>
          <w:jc w:val="center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Vnitřní úpravy ZŠ Šlapanice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1 000,0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1 000,0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1 000,0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1 000,0</w:t>
            </w:r>
          </w:p>
        </w:tc>
      </w:tr>
      <w:tr w:rsidR="00747159" w:rsidRPr="00A9694F" w:rsidTr="00747159">
        <w:trPr>
          <w:trHeight w:val="300"/>
          <w:jc w:val="center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Cyklostezka Brno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1 688,0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1 700,0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1 700,0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1 700,0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1 700,0</w:t>
            </w:r>
          </w:p>
        </w:tc>
      </w:tr>
      <w:tr w:rsidR="00747159" w:rsidRPr="00A9694F" w:rsidTr="00747159">
        <w:trPr>
          <w:trHeight w:val="300"/>
          <w:jc w:val="center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Parkování, chodníky a cyklostezky ostatní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9 600,0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5 000,0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5 000,0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5 000,0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5 000,0</w:t>
            </w:r>
          </w:p>
        </w:tc>
      </w:tr>
      <w:tr w:rsidR="00747159" w:rsidRPr="00A9694F" w:rsidTr="00747159">
        <w:trPr>
          <w:trHeight w:val="300"/>
          <w:jc w:val="center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Sanace ICEC příprava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23 000,0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3 000,0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747159" w:rsidRPr="00A9694F" w:rsidTr="00747159">
        <w:trPr>
          <w:trHeight w:val="300"/>
          <w:jc w:val="center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Stacionární radary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1 700,0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</w:tr>
      <w:tr w:rsidR="00747159" w:rsidRPr="00A9694F" w:rsidTr="00747159">
        <w:trPr>
          <w:trHeight w:val="300"/>
          <w:jc w:val="center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proofErr w:type="spellStart"/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Rotomaty</w:t>
            </w:r>
            <w:proofErr w:type="spell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1 600,0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</w:tr>
      <w:tr w:rsidR="00747159" w:rsidRPr="00A9694F" w:rsidTr="00747159">
        <w:trPr>
          <w:trHeight w:val="300"/>
          <w:jc w:val="center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Digitalizace povodňových plánů a systém ochrany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4 600,0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</w:tr>
      <w:tr w:rsidR="00747159" w:rsidRPr="00A9694F" w:rsidTr="00747159">
        <w:trPr>
          <w:trHeight w:val="300"/>
          <w:jc w:val="center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Park Riegrova - investice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2 500,0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</w:tr>
      <w:tr w:rsidR="00747159" w:rsidRPr="00A9694F" w:rsidTr="00747159">
        <w:trPr>
          <w:trHeight w:val="300"/>
          <w:jc w:val="center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Rekonstrukce ulice Kosmákova - ulice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5 900,0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</w:tr>
      <w:tr w:rsidR="00747159" w:rsidRPr="00A9694F" w:rsidTr="00747159">
        <w:trPr>
          <w:trHeight w:val="300"/>
          <w:jc w:val="center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Rekonstrukce ulice Kosmákova - kanalizace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1 072,0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1 072,0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1 072,0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1 072,0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1 072,0</w:t>
            </w:r>
          </w:p>
        </w:tc>
      </w:tr>
      <w:tr w:rsidR="00747159" w:rsidRPr="00A9694F" w:rsidTr="00747159">
        <w:trPr>
          <w:trHeight w:val="300"/>
          <w:jc w:val="center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Školička Sokolík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1 855,6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</w:tr>
      <w:tr w:rsidR="00747159" w:rsidRPr="00A9694F" w:rsidTr="00747159">
        <w:trPr>
          <w:trHeight w:val="300"/>
          <w:jc w:val="center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rekonstrukce dům Čechova - projekt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1 000,0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</w:tr>
      <w:tr w:rsidR="00747159" w:rsidRPr="00A9694F" w:rsidTr="00747159">
        <w:trPr>
          <w:trHeight w:val="300"/>
          <w:jc w:val="center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Lidická - projekt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1 000,0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</w:tr>
      <w:tr w:rsidR="00747159" w:rsidRPr="00A9694F" w:rsidTr="00747159">
        <w:trPr>
          <w:trHeight w:val="300"/>
          <w:jc w:val="center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cyklotrasa Bedřichovice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2 500,0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</w:tr>
      <w:tr w:rsidR="00747159" w:rsidRPr="00A9694F" w:rsidTr="00747159">
        <w:trPr>
          <w:trHeight w:val="300"/>
          <w:jc w:val="center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hřiště Jiráskova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5 700,0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</w:tr>
      <w:tr w:rsidR="00747159" w:rsidRPr="00A9694F" w:rsidTr="00747159">
        <w:trPr>
          <w:trHeight w:val="300"/>
          <w:jc w:val="center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pořízení ÚP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700,0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</w:tr>
      <w:tr w:rsidR="00747159" w:rsidRPr="00A9694F" w:rsidTr="00747159">
        <w:trPr>
          <w:trHeight w:val="315"/>
          <w:jc w:val="center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další cyklotrasy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1 000,0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1 500,0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1 500,0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1 500,0</w:t>
            </w:r>
          </w:p>
        </w:tc>
      </w:tr>
      <w:tr w:rsidR="00747159" w:rsidRPr="00A9694F" w:rsidTr="00747159">
        <w:trPr>
          <w:trHeight w:val="300"/>
          <w:jc w:val="center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lastRenderedPageBreak/>
              <w:t>obnova softwaru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1 000,0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</w:tr>
      <w:tr w:rsidR="00747159" w:rsidRPr="00A9694F" w:rsidTr="00747159">
        <w:trPr>
          <w:trHeight w:val="315"/>
          <w:jc w:val="center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atrium </w:t>
            </w:r>
            <w:proofErr w:type="spellStart"/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MěÚ</w:t>
            </w:r>
            <w:proofErr w:type="spell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800,0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600,0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0,0</w:t>
            </w:r>
          </w:p>
        </w:tc>
      </w:tr>
      <w:tr w:rsidR="00747159" w:rsidRPr="00A9694F" w:rsidTr="00747159">
        <w:trPr>
          <w:trHeight w:val="300"/>
          <w:jc w:val="center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další investice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8 452,6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18 136,5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3 222,0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6 628,0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6 728,0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7 728,0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7 728,0</w:t>
            </w:r>
          </w:p>
        </w:tc>
      </w:tr>
      <w:tr w:rsidR="00747159" w:rsidRPr="00A9694F" w:rsidTr="00747159">
        <w:trPr>
          <w:trHeight w:val="315"/>
          <w:jc w:val="center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výdaje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182 349,0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219 231,0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2475F2" w:rsidP="00247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257 4</w:t>
            </w:r>
            <w:r w:rsidR="00737EAC" w:rsidRPr="00737E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27,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201 392,5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198 056,4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199 736,9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EAC" w:rsidRPr="00737EAC" w:rsidRDefault="00737EAC" w:rsidP="00737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37E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201 434,3</w:t>
            </w:r>
          </w:p>
        </w:tc>
      </w:tr>
    </w:tbl>
    <w:p w:rsidR="0024570F" w:rsidRPr="00BF7D93" w:rsidRDefault="0024570F" w:rsidP="00744B82">
      <w:pPr>
        <w:spacing w:before="240"/>
        <w:rPr>
          <w:rFonts w:ascii="Arial" w:hAnsi="Arial" w:cs="Arial"/>
          <w:color w:val="FF0000"/>
          <w:sz w:val="24"/>
        </w:rPr>
      </w:pPr>
    </w:p>
    <w:sectPr w:rsidR="0024570F" w:rsidRPr="00BF7D93" w:rsidSect="00746D04">
      <w:headerReference w:type="default" r:id="rId17"/>
      <w:footerReference w:type="default" r:id="rId18"/>
      <w:headerReference w:type="first" r:id="rId1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519" w:rsidRDefault="00D23519" w:rsidP="00A02FEF">
      <w:pPr>
        <w:spacing w:after="0" w:line="240" w:lineRule="auto"/>
      </w:pPr>
      <w:r>
        <w:separator/>
      </w:r>
    </w:p>
  </w:endnote>
  <w:endnote w:type="continuationSeparator" w:id="0">
    <w:p w:rsidR="00D23519" w:rsidRDefault="00D23519" w:rsidP="00A0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575769"/>
      <w:docPartObj>
        <w:docPartGallery w:val="Page Numbers (Bottom of Page)"/>
        <w:docPartUnique/>
      </w:docPartObj>
    </w:sdtPr>
    <w:sdtEndPr/>
    <w:sdtContent>
      <w:p w:rsidR="00D23519" w:rsidRDefault="00D2351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CCD">
          <w:rPr>
            <w:noProof/>
          </w:rPr>
          <w:t>12</w:t>
        </w:r>
        <w:r>
          <w:fldChar w:fldCharType="end"/>
        </w:r>
      </w:p>
    </w:sdtContent>
  </w:sdt>
  <w:p w:rsidR="00D23519" w:rsidRDefault="00D235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519" w:rsidRDefault="00D23519" w:rsidP="00A02FEF">
      <w:pPr>
        <w:spacing w:after="0" w:line="240" w:lineRule="auto"/>
      </w:pPr>
      <w:r>
        <w:separator/>
      </w:r>
    </w:p>
  </w:footnote>
  <w:footnote w:type="continuationSeparator" w:id="0">
    <w:p w:rsidR="00D23519" w:rsidRDefault="00D23519" w:rsidP="00A02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519" w:rsidRDefault="00D23519" w:rsidP="00A02FEF">
    <w:pPr>
      <w:pStyle w:val="Zhlav"/>
      <w:jc w:val="right"/>
    </w:pPr>
    <w:r>
      <w:t>Rozpočtový výhled města Šlapanice 2017 - 2021</w:t>
    </w:r>
  </w:p>
  <w:p w:rsidR="00D23519" w:rsidRDefault="00D2351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519" w:rsidRDefault="00D23519">
    <w:pPr>
      <w:pStyle w:val="Zhlav"/>
    </w:pPr>
    <w:r>
      <w:rPr>
        <w:noProof/>
        <w:lang w:eastAsia="cs-CZ"/>
      </w:rPr>
      <w:drawing>
        <wp:inline distT="0" distB="0" distL="0" distR="0">
          <wp:extent cx="4286250" cy="1000125"/>
          <wp:effectExtent l="0" t="0" r="0" b="952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454E2"/>
    <w:multiLevelType w:val="hybridMultilevel"/>
    <w:tmpl w:val="B95699D0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833AAEE2">
      <w:start w:val="1966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32646A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B6E2B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D9F695C"/>
    <w:multiLevelType w:val="hybridMultilevel"/>
    <w:tmpl w:val="61E02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DC"/>
    <w:rsid w:val="00017CCD"/>
    <w:rsid w:val="00023C59"/>
    <w:rsid w:val="0003118D"/>
    <w:rsid w:val="00034947"/>
    <w:rsid w:val="00044698"/>
    <w:rsid w:val="000574AE"/>
    <w:rsid w:val="000613D8"/>
    <w:rsid w:val="00077D2B"/>
    <w:rsid w:val="000847B9"/>
    <w:rsid w:val="00097C9D"/>
    <w:rsid w:val="000A3CDE"/>
    <w:rsid w:val="000A5E0E"/>
    <w:rsid w:val="000C5906"/>
    <w:rsid w:val="000F4B1F"/>
    <w:rsid w:val="00112BD9"/>
    <w:rsid w:val="001147A7"/>
    <w:rsid w:val="0011511A"/>
    <w:rsid w:val="0012673D"/>
    <w:rsid w:val="0015071D"/>
    <w:rsid w:val="00170987"/>
    <w:rsid w:val="00182FBC"/>
    <w:rsid w:val="00194F16"/>
    <w:rsid w:val="001968F6"/>
    <w:rsid w:val="001A3B6A"/>
    <w:rsid w:val="001A6D1B"/>
    <w:rsid w:val="001B034F"/>
    <w:rsid w:val="001B4932"/>
    <w:rsid w:val="001B754A"/>
    <w:rsid w:val="001C1182"/>
    <w:rsid w:val="001D7970"/>
    <w:rsid w:val="001F414C"/>
    <w:rsid w:val="001F6A93"/>
    <w:rsid w:val="00210D86"/>
    <w:rsid w:val="00210E28"/>
    <w:rsid w:val="00232CF9"/>
    <w:rsid w:val="0024570F"/>
    <w:rsid w:val="002475F2"/>
    <w:rsid w:val="00247B50"/>
    <w:rsid w:val="00252F3D"/>
    <w:rsid w:val="002A51D9"/>
    <w:rsid w:val="002A5D4C"/>
    <w:rsid w:val="002B27B6"/>
    <w:rsid w:val="002F1E70"/>
    <w:rsid w:val="002F4C9B"/>
    <w:rsid w:val="002F55CC"/>
    <w:rsid w:val="002F5E8D"/>
    <w:rsid w:val="002F6AB6"/>
    <w:rsid w:val="00307ACD"/>
    <w:rsid w:val="00307CC5"/>
    <w:rsid w:val="00340DBB"/>
    <w:rsid w:val="003607DC"/>
    <w:rsid w:val="00394D6F"/>
    <w:rsid w:val="003A0756"/>
    <w:rsid w:val="003A506F"/>
    <w:rsid w:val="003A559E"/>
    <w:rsid w:val="003B41D1"/>
    <w:rsid w:val="003B6AA7"/>
    <w:rsid w:val="003C050D"/>
    <w:rsid w:val="003D3640"/>
    <w:rsid w:val="003D4C2C"/>
    <w:rsid w:val="003E0ACA"/>
    <w:rsid w:val="003E5836"/>
    <w:rsid w:val="00420D0C"/>
    <w:rsid w:val="00424DA6"/>
    <w:rsid w:val="00425E13"/>
    <w:rsid w:val="00432434"/>
    <w:rsid w:val="00442921"/>
    <w:rsid w:val="0044334F"/>
    <w:rsid w:val="004515DB"/>
    <w:rsid w:val="00462C3D"/>
    <w:rsid w:val="00474CC3"/>
    <w:rsid w:val="004756AF"/>
    <w:rsid w:val="00475F05"/>
    <w:rsid w:val="00476373"/>
    <w:rsid w:val="004B2248"/>
    <w:rsid w:val="004B4100"/>
    <w:rsid w:val="004C1E7A"/>
    <w:rsid w:val="004D4BF8"/>
    <w:rsid w:val="004E48C3"/>
    <w:rsid w:val="004E59E3"/>
    <w:rsid w:val="004E63A2"/>
    <w:rsid w:val="004F160A"/>
    <w:rsid w:val="00507F4E"/>
    <w:rsid w:val="0051157B"/>
    <w:rsid w:val="005125A5"/>
    <w:rsid w:val="00517063"/>
    <w:rsid w:val="0052595A"/>
    <w:rsid w:val="0054273E"/>
    <w:rsid w:val="00544D77"/>
    <w:rsid w:val="00554827"/>
    <w:rsid w:val="00585D56"/>
    <w:rsid w:val="005C34BD"/>
    <w:rsid w:val="005C6905"/>
    <w:rsid w:val="005E3595"/>
    <w:rsid w:val="0060168A"/>
    <w:rsid w:val="00614EF8"/>
    <w:rsid w:val="006275B4"/>
    <w:rsid w:val="00630D5C"/>
    <w:rsid w:val="00643C90"/>
    <w:rsid w:val="00646CB4"/>
    <w:rsid w:val="0066441B"/>
    <w:rsid w:val="00671B97"/>
    <w:rsid w:val="006726EA"/>
    <w:rsid w:val="00684D61"/>
    <w:rsid w:val="006911DC"/>
    <w:rsid w:val="0069418A"/>
    <w:rsid w:val="006A77D1"/>
    <w:rsid w:val="006D0956"/>
    <w:rsid w:val="006D249A"/>
    <w:rsid w:val="006E30B0"/>
    <w:rsid w:val="006F44B2"/>
    <w:rsid w:val="00703BAA"/>
    <w:rsid w:val="007045C8"/>
    <w:rsid w:val="007173DB"/>
    <w:rsid w:val="00717BDB"/>
    <w:rsid w:val="00730883"/>
    <w:rsid w:val="007325EC"/>
    <w:rsid w:val="00737EAC"/>
    <w:rsid w:val="00741015"/>
    <w:rsid w:val="00744110"/>
    <w:rsid w:val="00744B82"/>
    <w:rsid w:val="00746D04"/>
    <w:rsid w:val="00747159"/>
    <w:rsid w:val="0075095C"/>
    <w:rsid w:val="00751962"/>
    <w:rsid w:val="00755F0B"/>
    <w:rsid w:val="00763B16"/>
    <w:rsid w:val="0076732B"/>
    <w:rsid w:val="007751DD"/>
    <w:rsid w:val="00785E58"/>
    <w:rsid w:val="00786D25"/>
    <w:rsid w:val="0079385F"/>
    <w:rsid w:val="00793EF1"/>
    <w:rsid w:val="00794433"/>
    <w:rsid w:val="00795F9F"/>
    <w:rsid w:val="007968C7"/>
    <w:rsid w:val="007A6674"/>
    <w:rsid w:val="007B5B69"/>
    <w:rsid w:val="007C7799"/>
    <w:rsid w:val="00800700"/>
    <w:rsid w:val="00801173"/>
    <w:rsid w:val="00802924"/>
    <w:rsid w:val="00805048"/>
    <w:rsid w:val="0081081C"/>
    <w:rsid w:val="00812E0D"/>
    <w:rsid w:val="00814E1A"/>
    <w:rsid w:val="008311B5"/>
    <w:rsid w:val="00853273"/>
    <w:rsid w:val="0085514B"/>
    <w:rsid w:val="00856BCC"/>
    <w:rsid w:val="00856BF8"/>
    <w:rsid w:val="008823C9"/>
    <w:rsid w:val="008865C2"/>
    <w:rsid w:val="00890347"/>
    <w:rsid w:val="008C223D"/>
    <w:rsid w:val="008C4495"/>
    <w:rsid w:val="008C6686"/>
    <w:rsid w:val="008D7D98"/>
    <w:rsid w:val="008E533A"/>
    <w:rsid w:val="008E5933"/>
    <w:rsid w:val="008F01C4"/>
    <w:rsid w:val="008F4686"/>
    <w:rsid w:val="00911585"/>
    <w:rsid w:val="0091271D"/>
    <w:rsid w:val="00924DED"/>
    <w:rsid w:val="00940806"/>
    <w:rsid w:val="009463B3"/>
    <w:rsid w:val="00954521"/>
    <w:rsid w:val="00960E54"/>
    <w:rsid w:val="009713F3"/>
    <w:rsid w:val="0099738D"/>
    <w:rsid w:val="009D26E4"/>
    <w:rsid w:val="009D6DFB"/>
    <w:rsid w:val="009D7751"/>
    <w:rsid w:val="00A02F75"/>
    <w:rsid w:val="00A02FEF"/>
    <w:rsid w:val="00A3113D"/>
    <w:rsid w:val="00A36B15"/>
    <w:rsid w:val="00A43760"/>
    <w:rsid w:val="00A57204"/>
    <w:rsid w:val="00A828E0"/>
    <w:rsid w:val="00A83FD3"/>
    <w:rsid w:val="00A8525B"/>
    <w:rsid w:val="00A87A07"/>
    <w:rsid w:val="00A92119"/>
    <w:rsid w:val="00A9413F"/>
    <w:rsid w:val="00A9694F"/>
    <w:rsid w:val="00A97491"/>
    <w:rsid w:val="00AC0E12"/>
    <w:rsid w:val="00AD10F6"/>
    <w:rsid w:val="00AE312D"/>
    <w:rsid w:val="00AE3730"/>
    <w:rsid w:val="00AE3E9C"/>
    <w:rsid w:val="00B11B45"/>
    <w:rsid w:val="00B27F75"/>
    <w:rsid w:val="00B321AB"/>
    <w:rsid w:val="00B349DA"/>
    <w:rsid w:val="00B41309"/>
    <w:rsid w:val="00B45724"/>
    <w:rsid w:val="00B51ED8"/>
    <w:rsid w:val="00B64A9B"/>
    <w:rsid w:val="00B760BD"/>
    <w:rsid w:val="00B773A3"/>
    <w:rsid w:val="00B8083A"/>
    <w:rsid w:val="00BA56B7"/>
    <w:rsid w:val="00BA7769"/>
    <w:rsid w:val="00BE4C88"/>
    <w:rsid w:val="00BE7BDD"/>
    <w:rsid w:val="00BF7D93"/>
    <w:rsid w:val="00C0458C"/>
    <w:rsid w:val="00C109B2"/>
    <w:rsid w:val="00C207B7"/>
    <w:rsid w:val="00C21DFF"/>
    <w:rsid w:val="00C32C8F"/>
    <w:rsid w:val="00C47416"/>
    <w:rsid w:val="00C75A23"/>
    <w:rsid w:val="00C84FC3"/>
    <w:rsid w:val="00C9005A"/>
    <w:rsid w:val="00CA459B"/>
    <w:rsid w:val="00CA559E"/>
    <w:rsid w:val="00CC06F7"/>
    <w:rsid w:val="00CE668E"/>
    <w:rsid w:val="00CF7BC2"/>
    <w:rsid w:val="00D23519"/>
    <w:rsid w:val="00D2566E"/>
    <w:rsid w:val="00D40212"/>
    <w:rsid w:val="00D505D4"/>
    <w:rsid w:val="00D56409"/>
    <w:rsid w:val="00D61874"/>
    <w:rsid w:val="00D70D7B"/>
    <w:rsid w:val="00D804D1"/>
    <w:rsid w:val="00D92BC7"/>
    <w:rsid w:val="00DB0F27"/>
    <w:rsid w:val="00DC1341"/>
    <w:rsid w:val="00DC3CA0"/>
    <w:rsid w:val="00DD65A5"/>
    <w:rsid w:val="00E004FE"/>
    <w:rsid w:val="00E202D1"/>
    <w:rsid w:val="00E24994"/>
    <w:rsid w:val="00E2709E"/>
    <w:rsid w:val="00E306A7"/>
    <w:rsid w:val="00E35482"/>
    <w:rsid w:val="00E35D73"/>
    <w:rsid w:val="00E50892"/>
    <w:rsid w:val="00E51991"/>
    <w:rsid w:val="00E716AF"/>
    <w:rsid w:val="00E71B79"/>
    <w:rsid w:val="00E7416E"/>
    <w:rsid w:val="00E8331E"/>
    <w:rsid w:val="00EA36A4"/>
    <w:rsid w:val="00EA4B17"/>
    <w:rsid w:val="00EA685A"/>
    <w:rsid w:val="00EB6765"/>
    <w:rsid w:val="00EC045C"/>
    <w:rsid w:val="00ED0B02"/>
    <w:rsid w:val="00ED397E"/>
    <w:rsid w:val="00EE4E54"/>
    <w:rsid w:val="00EF0B51"/>
    <w:rsid w:val="00F11973"/>
    <w:rsid w:val="00F157FC"/>
    <w:rsid w:val="00F21959"/>
    <w:rsid w:val="00F26D95"/>
    <w:rsid w:val="00F504B0"/>
    <w:rsid w:val="00F50CA7"/>
    <w:rsid w:val="00F57B16"/>
    <w:rsid w:val="00F646E8"/>
    <w:rsid w:val="00F67FD1"/>
    <w:rsid w:val="00F73BE5"/>
    <w:rsid w:val="00F75EDA"/>
    <w:rsid w:val="00F90214"/>
    <w:rsid w:val="00FA5955"/>
    <w:rsid w:val="00FA601B"/>
    <w:rsid w:val="00FA69C2"/>
    <w:rsid w:val="00FB1220"/>
    <w:rsid w:val="00FD15A0"/>
    <w:rsid w:val="00FD322B"/>
    <w:rsid w:val="00FE0961"/>
    <w:rsid w:val="00FE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1959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1511A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5071D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2FEF"/>
  </w:style>
  <w:style w:type="paragraph" w:styleId="Zpat">
    <w:name w:val="footer"/>
    <w:basedOn w:val="Normln"/>
    <w:link w:val="ZpatChar"/>
    <w:uiPriority w:val="99"/>
    <w:unhideWhenUsed/>
    <w:rsid w:val="00A0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2FEF"/>
  </w:style>
  <w:style w:type="paragraph" w:styleId="Textbubliny">
    <w:name w:val="Balloon Text"/>
    <w:basedOn w:val="Normln"/>
    <w:link w:val="TextbublinyChar"/>
    <w:uiPriority w:val="99"/>
    <w:semiHidden/>
    <w:unhideWhenUsed/>
    <w:rsid w:val="00A0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FE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2195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1511A"/>
    <w:rPr>
      <w:rFonts w:ascii="Arial" w:eastAsiaTheme="majorEastAsia" w:hAnsi="Arial" w:cstheme="majorBidi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E716AF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5071D"/>
    <w:rPr>
      <w:rFonts w:ascii="Arial" w:eastAsiaTheme="majorEastAsia" w:hAnsi="Arial" w:cstheme="majorBidi"/>
      <w:b/>
      <w:bCs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A3CDE"/>
    <w:pPr>
      <w:outlineLvl w:val="9"/>
    </w:pPr>
    <w:rPr>
      <w:rFonts w:asciiTheme="majorHAnsi" w:hAnsiTheme="majorHAnsi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A3CD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A3CDE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173DB"/>
    <w:pPr>
      <w:tabs>
        <w:tab w:val="left" w:pos="1134"/>
        <w:tab w:val="right" w:leader="dot" w:pos="9062"/>
      </w:tabs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0A3CDE"/>
    <w:rPr>
      <w:color w:val="0000FF" w:themeColor="hyperlink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585D56"/>
    <w:pPr>
      <w:numPr>
        <w:ilvl w:val="1"/>
      </w:numPr>
    </w:pPr>
    <w:rPr>
      <w:rFonts w:ascii="Arial" w:eastAsiaTheme="majorEastAsia" w:hAnsi="Arial" w:cstheme="majorBidi"/>
      <w:i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85D56"/>
    <w:rPr>
      <w:rFonts w:ascii="Arial" w:eastAsiaTheme="majorEastAsia" w:hAnsi="Arial" w:cstheme="majorBidi"/>
      <w:i/>
      <w:iCs/>
      <w:spacing w:val="15"/>
      <w:szCs w:val="24"/>
    </w:rPr>
  </w:style>
  <w:style w:type="character" w:styleId="Zvraznn">
    <w:name w:val="Emphasis"/>
    <w:basedOn w:val="Standardnpsmoodstavce"/>
    <w:uiPriority w:val="20"/>
    <w:qFormat/>
    <w:rsid w:val="00814E1A"/>
    <w:rPr>
      <w:rFonts w:ascii="Arial" w:hAnsi="Arial"/>
      <w:i/>
      <w:iCs/>
      <w:sz w:val="22"/>
    </w:rPr>
  </w:style>
  <w:style w:type="paragraph" w:styleId="Seznamobrzk">
    <w:name w:val="table of figures"/>
    <w:basedOn w:val="Normln"/>
    <w:next w:val="Normln"/>
    <w:uiPriority w:val="99"/>
    <w:unhideWhenUsed/>
    <w:rsid w:val="0099738D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1959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1511A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5071D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2FEF"/>
  </w:style>
  <w:style w:type="paragraph" w:styleId="Zpat">
    <w:name w:val="footer"/>
    <w:basedOn w:val="Normln"/>
    <w:link w:val="ZpatChar"/>
    <w:uiPriority w:val="99"/>
    <w:unhideWhenUsed/>
    <w:rsid w:val="00A0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2FEF"/>
  </w:style>
  <w:style w:type="paragraph" w:styleId="Textbubliny">
    <w:name w:val="Balloon Text"/>
    <w:basedOn w:val="Normln"/>
    <w:link w:val="TextbublinyChar"/>
    <w:uiPriority w:val="99"/>
    <w:semiHidden/>
    <w:unhideWhenUsed/>
    <w:rsid w:val="00A0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FE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2195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1511A"/>
    <w:rPr>
      <w:rFonts w:ascii="Arial" w:eastAsiaTheme="majorEastAsia" w:hAnsi="Arial" w:cstheme="majorBidi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E716AF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5071D"/>
    <w:rPr>
      <w:rFonts w:ascii="Arial" w:eastAsiaTheme="majorEastAsia" w:hAnsi="Arial" w:cstheme="majorBidi"/>
      <w:b/>
      <w:bCs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A3CDE"/>
    <w:pPr>
      <w:outlineLvl w:val="9"/>
    </w:pPr>
    <w:rPr>
      <w:rFonts w:asciiTheme="majorHAnsi" w:hAnsiTheme="majorHAnsi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A3CD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A3CDE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173DB"/>
    <w:pPr>
      <w:tabs>
        <w:tab w:val="left" w:pos="1134"/>
        <w:tab w:val="right" w:leader="dot" w:pos="9062"/>
      </w:tabs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0A3CDE"/>
    <w:rPr>
      <w:color w:val="0000FF" w:themeColor="hyperlink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585D56"/>
    <w:pPr>
      <w:numPr>
        <w:ilvl w:val="1"/>
      </w:numPr>
    </w:pPr>
    <w:rPr>
      <w:rFonts w:ascii="Arial" w:eastAsiaTheme="majorEastAsia" w:hAnsi="Arial" w:cstheme="majorBidi"/>
      <w:i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85D56"/>
    <w:rPr>
      <w:rFonts w:ascii="Arial" w:eastAsiaTheme="majorEastAsia" w:hAnsi="Arial" w:cstheme="majorBidi"/>
      <w:i/>
      <w:iCs/>
      <w:spacing w:val="15"/>
      <w:szCs w:val="24"/>
    </w:rPr>
  </w:style>
  <w:style w:type="character" w:styleId="Zvraznn">
    <w:name w:val="Emphasis"/>
    <w:basedOn w:val="Standardnpsmoodstavce"/>
    <w:uiPriority w:val="20"/>
    <w:qFormat/>
    <w:rsid w:val="00814E1A"/>
    <w:rPr>
      <w:rFonts w:ascii="Arial" w:hAnsi="Arial"/>
      <w:i/>
      <w:iCs/>
      <w:sz w:val="22"/>
    </w:rPr>
  </w:style>
  <w:style w:type="paragraph" w:styleId="Seznamobrzk">
    <w:name w:val="table of figures"/>
    <w:basedOn w:val="Normln"/>
    <w:next w:val="Normln"/>
    <w:uiPriority w:val="99"/>
    <w:unhideWhenUsed/>
    <w:rsid w:val="0099738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S005\uziv\havlickova\Vedouc&#237;%20OF\1_Slan&#253;\ROZPO&#268;TOV&#221;%20V&#221;HLED\2016\podklad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S005\uziv\havlickova\Vedouc&#237;%20OF\1_Slan&#253;\ROZPO&#268;TOV&#221;%20V&#221;HLED\2016\podklad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AS005\uziv\havlickova\Vedouc&#237;%20OF\1_Slan&#253;\ROZPO&#268;TOV&#221;%20V&#221;HLED\2016\podklad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AS005\uziv\havlickova\Vedouc&#237;%20OF\1_Slan&#253;\ROZPO&#268;TOV&#221;%20V&#221;HLED\2016\podklady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AS005\uziv\havlickova\Vedouc&#237;%20OF\1_Slan&#253;\ROZPO&#268;TOV&#221;%20V&#221;HLED\2016\podklady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AS005\uziv\havlickova\Vedouc&#237;%20OF\1_Slan&#253;\ROZPO&#268;TOV&#221;%20V&#221;HLED\2016\podklady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AS005\uziv\havlickova\Vedouc&#237;%20OF\1_Slan&#253;\ROZPO&#268;TOV&#221;%20V&#221;HLED\2016\podklady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AS005\uziv\havlickova\Vedouc&#237;%20OF\1_Slan&#253;\Dluhov&#225;%20slu&#382;ba\Dluhova%20sluzba%202005-2014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PŘÍJMY </a:t>
            </a:r>
            <a:r>
              <a:rPr lang="cs-CZ" sz="1200"/>
              <a:t>města</a:t>
            </a:r>
            <a:r>
              <a:rPr lang="cs-CZ" sz="1200" baseline="0"/>
              <a:t> Šlapanice</a:t>
            </a:r>
            <a:endParaRPr lang="en-US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'GRAF PŘÍJMY'!$A$9:$C$9</c:f>
              <c:strCache>
                <c:ptCount val="1"/>
                <c:pt idx="0">
                  <c:v>PŘÍJMY CELKEM</c:v>
                </c:pt>
              </c:strCache>
            </c:strRef>
          </c:tx>
          <c:invertIfNegative val="0"/>
          <c:cat>
            <c:numRef>
              <c:f>'GRAF PŘÍJMY'!$E$1:$O$1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'GRAF PŘÍJMY'!$E$9:$O$9</c:f>
              <c:numCache>
                <c:formatCode>#,##0</c:formatCode>
                <c:ptCount val="11"/>
                <c:pt idx="0">
                  <c:v>195432616.34999999</c:v>
                </c:pt>
                <c:pt idx="1">
                  <c:v>245940559.38999999</c:v>
                </c:pt>
                <c:pt idx="2">
                  <c:v>271307218.11000001</c:v>
                </c:pt>
                <c:pt idx="3">
                  <c:v>277027594.37000006</c:v>
                </c:pt>
                <c:pt idx="4">
                  <c:v>305688473</c:v>
                </c:pt>
                <c:pt idx="5">
                  <c:v>291021496</c:v>
                </c:pt>
                <c:pt idx="6">
                  <c:v>149303987</c:v>
                </c:pt>
                <c:pt idx="7">
                  <c:v>178827831</c:v>
                </c:pt>
                <c:pt idx="8">
                  <c:v>241609010</c:v>
                </c:pt>
                <c:pt idx="9">
                  <c:v>215832510</c:v>
                </c:pt>
                <c:pt idx="10">
                  <c:v>187777800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264512"/>
        <c:axId val="36914304"/>
      </c:barChart>
      <c:catAx>
        <c:axId val="73264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6914304"/>
        <c:crosses val="autoZero"/>
        <c:auto val="1"/>
        <c:lblAlgn val="ctr"/>
        <c:lblOffset val="100"/>
        <c:noMultiLvlLbl val="0"/>
      </c:catAx>
      <c:valAx>
        <c:axId val="3691430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73264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'graf příjmy souhrnný dotační vz'!$A$2:$C$2</c:f>
              <c:strCache>
                <c:ptCount val="1"/>
                <c:pt idx="0">
                  <c:v>Souhrnný dotační vztah</c:v>
                </c:pt>
              </c:strCache>
            </c:strRef>
          </c:tx>
          <c:invertIfNegative val="0"/>
          <c:cat>
            <c:numRef>
              <c:f>'graf příjmy souhrnný dotační vz'!$D$1:$M$1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'graf příjmy souhrnný dotační vz'!$D$2:$M$2</c:f>
              <c:numCache>
                <c:formatCode>#,##0</c:formatCode>
                <c:ptCount val="10"/>
                <c:pt idx="0">
                  <c:v>41929584</c:v>
                </c:pt>
                <c:pt idx="1">
                  <c:v>43702400</c:v>
                </c:pt>
                <c:pt idx="2">
                  <c:v>45670400</c:v>
                </c:pt>
                <c:pt idx="3">
                  <c:v>46268400</c:v>
                </c:pt>
                <c:pt idx="4">
                  <c:v>42352800</c:v>
                </c:pt>
                <c:pt idx="5">
                  <c:v>38849300</c:v>
                </c:pt>
                <c:pt idx="6">
                  <c:v>41958600</c:v>
                </c:pt>
                <c:pt idx="7">
                  <c:v>42318700</c:v>
                </c:pt>
                <c:pt idx="8">
                  <c:v>42719200</c:v>
                </c:pt>
                <c:pt idx="9">
                  <c:v>43365400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943360"/>
        <c:axId val="36944896"/>
      </c:barChart>
      <c:catAx>
        <c:axId val="36943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6944896"/>
        <c:crosses val="autoZero"/>
        <c:auto val="1"/>
        <c:lblAlgn val="ctr"/>
        <c:lblOffset val="100"/>
        <c:noMultiLvlLbl val="0"/>
      </c:catAx>
      <c:valAx>
        <c:axId val="3694489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36943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312729658792651"/>
          <c:y val="0.11878279720154435"/>
          <c:w val="0.52196894138232719"/>
          <c:h val="0.73047038062221747"/>
        </c:manualLayout>
      </c:layout>
      <c:lineChart>
        <c:grouping val="standard"/>
        <c:varyColors val="0"/>
        <c:ser>
          <c:idx val="0"/>
          <c:order val="0"/>
          <c:tx>
            <c:v>Daňové příjmy</c:v>
          </c:tx>
          <c:marker>
            <c:symbol val="none"/>
          </c:marker>
          <c:cat>
            <c:numRef>
              <c:f>'graf daňové příjmy'!$B$1:$L$1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'graf daňové příjmy'!$B$2:$L$2</c:f>
              <c:numCache>
                <c:formatCode>#,##0</c:formatCode>
                <c:ptCount val="11"/>
                <c:pt idx="0">
                  <c:v>65554150.399999999</c:v>
                </c:pt>
                <c:pt idx="1">
                  <c:v>73915722.489999995</c:v>
                </c:pt>
                <c:pt idx="2">
                  <c:v>82396914.819999993</c:v>
                </c:pt>
                <c:pt idx="3">
                  <c:v>68846059.790000007</c:v>
                </c:pt>
                <c:pt idx="4">
                  <c:v>69263987</c:v>
                </c:pt>
                <c:pt idx="5">
                  <c:v>71439101</c:v>
                </c:pt>
                <c:pt idx="6">
                  <c:v>75433616</c:v>
                </c:pt>
                <c:pt idx="7">
                  <c:v>104863035</c:v>
                </c:pt>
                <c:pt idx="8">
                  <c:v>107929490</c:v>
                </c:pt>
                <c:pt idx="9">
                  <c:v>114842654</c:v>
                </c:pt>
                <c:pt idx="10">
                  <c:v>110668000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957184"/>
        <c:axId val="100545280"/>
      </c:lineChart>
      <c:catAx>
        <c:axId val="36957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0545280"/>
        <c:crosses val="autoZero"/>
        <c:auto val="1"/>
        <c:lblAlgn val="ctr"/>
        <c:lblOffset val="100"/>
        <c:noMultiLvlLbl val="0"/>
      </c:catAx>
      <c:valAx>
        <c:axId val="10054528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36957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Nedaňové příjmy</c:v>
          </c:tx>
          <c:marker>
            <c:symbol val="none"/>
          </c:marker>
          <c:cat>
            <c:numRef>
              <c:f>'graf nedaňové příjmy'!$E$1:$T$1</c:f>
              <c:numCache>
                <c:formatCode>General</c:formatCode>
                <c:ptCount val="16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  <c:pt idx="13">
                  <c:v>2019</c:v>
                </c:pt>
                <c:pt idx="14">
                  <c:v>2020</c:v>
                </c:pt>
                <c:pt idx="15">
                  <c:v>2021</c:v>
                </c:pt>
              </c:numCache>
            </c:numRef>
          </c:cat>
          <c:val>
            <c:numRef>
              <c:f>'graf nedaňové příjmy'!$E$2:$T$2</c:f>
              <c:numCache>
                <c:formatCode>#,##0</c:formatCode>
                <c:ptCount val="16"/>
                <c:pt idx="0">
                  <c:v>12905294.949999999</c:v>
                </c:pt>
                <c:pt idx="1">
                  <c:v>13755071.9</c:v>
                </c:pt>
                <c:pt idx="2">
                  <c:v>13484442.289999999</c:v>
                </c:pt>
                <c:pt idx="3">
                  <c:v>15925558.58</c:v>
                </c:pt>
                <c:pt idx="4">
                  <c:v>15312876</c:v>
                </c:pt>
                <c:pt idx="5">
                  <c:v>17490541</c:v>
                </c:pt>
                <c:pt idx="6">
                  <c:v>17923581</c:v>
                </c:pt>
                <c:pt idx="7">
                  <c:v>18016812</c:v>
                </c:pt>
                <c:pt idx="8">
                  <c:v>18955444</c:v>
                </c:pt>
                <c:pt idx="9">
                  <c:v>21332648</c:v>
                </c:pt>
                <c:pt idx="10">
                  <c:v>22156800</c:v>
                </c:pt>
                <c:pt idx="11">
                  <c:v>33584900</c:v>
                </c:pt>
                <c:pt idx="12">
                  <c:v>19780749</c:v>
                </c:pt>
                <c:pt idx="13">
                  <c:v>19978556.489999998</c:v>
                </c:pt>
                <c:pt idx="14">
                  <c:v>20178342.054899998</c:v>
                </c:pt>
                <c:pt idx="15">
                  <c:v>20380125.475449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2966016"/>
        <c:axId val="102967552"/>
      </c:lineChart>
      <c:catAx>
        <c:axId val="102966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2967552"/>
        <c:crosses val="autoZero"/>
        <c:auto val="1"/>
        <c:lblAlgn val="ctr"/>
        <c:lblOffset val="100"/>
        <c:noMultiLvlLbl val="0"/>
      </c:catAx>
      <c:valAx>
        <c:axId val="10296755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029660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'graf výdaje'!$A$2:$C$2</c:f>
              <c:strCache>
                <c:ptCount val="1"/>
                <c:pt idx="0">
                  <c:v>Běžné výdaje</c:v>
                </c:pt>
              </c:strCache>
            </c:strRef>
          </c:tx>
          <c:invertIfNegative val="0"/>
          <c:cat>
            <c:numRef>
              <c:f>'graf výdaje'!$E$1:$P$1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'graf výdaje'!$E$2:$P$2</c:f>
              <c:numCache>
                <c:formatCode>#,##0</c:formatCode>
                <c:ptCount val="12"/>
                <c:pt idx="0">
                  <c:v>147282825</c:v>
                </c:pt>
                <c:pt idx="1">
                  <c:v>155545959.30000001</c:v>
                </c:pt>
                <c:pt idx="2">
                  <c:v>207929604.69999999</c:v>
                </c:pt>
                <c:pt idx="3">
                  <c:v>221767966.97999999</c:v>
                </c:pt>
                <c:pt idx="4">
                  <c:v>246955377.54000002</c:v>
                </c:pt>
                <c:pt idx="5">
                  <c:v>254712880</c:v>
                </c:pt>
                <c:pt idx="6">
                  <c:v>256547022</c:v>
                </c:pt>
                <c:pt idx="7">
                  <c:v>117358936</c:v>
                </c:pt>
                <c:pt idx="8">
                  <c:v>115390404</c:v>
                </c:pt>
                <c:pt idx="9">
                  <c:v>135953233</c:v>
                </c:pt>
                <c:pt idx="10">
                  <c:v>129964171</c:v>
                </c:pt>
                <c:pt idx="11" formatCode="#,##0.00">
                  <c:v>133249685.19999999</c:v>
                </c:pt>
              </c:numCache>
            </c:numRef>
          </c:val>
        </c:ser>
        <c:ser>
          <c:idx val="1"/>
          <c:order val="1"/>
          <c:tx>
            <c:strRef>
              <c:f>'graf výdaje'!$A$3:$C$3</c:f>
              <c:strCache>
                <c:ptCount val="1"/>
                <c:pt idx="0">
                  <c:v>Kapitálové výdaje</c:v>
                </c:pt>
              </c:strCache>
            </c:strRef>
          </c:tx>
          <c:invertIfNegative val="0"/>
          <c:cat>
            <c:numRef>
              <c:f>'graf výdaje'!$E$1:$P$1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'graf výdaje'!$E$3:$P$3</c:f>
              <c:numCache>
                <c:formatCode>#,##0</c:formatCode>
                <c:ptCount val="12"/>
                <c:pt idx="0">
                  <c:v>35065469</c:v>
                </c:pt>
                <c:pt idx="1">
                  <c:v>28211842.670000002</c:v>
                </c:pt>
                <c:pt idx="2">
                  <c:v>36491721.07</c:v>
                </c:pt>
                <c:pt idx="3">
                  <c:v>29001152.100000001</c:v>
                </c:pt>
                <c:pt idx="4">
                  <c:v>47840826.369999997</c:v>
                </c:pt>
                <c:pt idx="5">
                  <c:v>56401793</c:v>
                </c:pt>
                <c:pt idx="6">
                  <c:v>22639647</c:v>
                </c:pt>
                <c:pt idx="7">
                  <c:v>22287432</c:v>
                </c:pt>
                <c:pt idx="8">
                  <c:v>29673184</c:v>
                </c:pt>
                <c:pt idx="9">
                  <c:v>173686478</c:v>
                </c:pt>
                <c:pt idx="10">
                  <c:v>52384621</c:v>
                </c:pt>
                <c:pt idx="11">
                  <c:v>57039300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2997376"/>
        <c:axId val="103007360"/>
      </c:barChart>
      <c:catAx>
        <c:axId val="102997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3007360"/>
        <c:crosses val="autoZero"/>
        <c:auto val="1"/>
        <c:lblAlgn val="ctr"/>
        <c:lblOffset val="100"/>
        <c:noMultiLvlLbl val="0"/>
      </c:catAx>
      <c:valAx>
        <c:axId val="10300736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02997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numRef>
              <c:f>'běžné výdaje 6171'!$B$1:$H$1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'běžné výdaje 6171'!$B$3:$H$3</c:f>
              <c:numCache>
                <c:formatCode>#,##0</c:formatCode>
                <c:ptCount val="7"/>
                <c:pt idx="0">
                  <c:v>5823341</c:v>
                </c:pt>
                <c:pt idx="1">
                  <c:v>7144631</c:v>
                </c:pt>
                <c:pt idx="2">
                  <c:v>1816492</c:v>
                </c:pt>
                <c:pt idx="3">
                  <c:v>6888933</c:v>
                </c:pt>
                <c:pt idx="4">
                  <c:v>4262567</c:v>
                </c:pt>
                <c:pt idx="5">
                  <c:v>5493249</c:v>
                </c:pt>
                <c:pt idx="6">
                  <c:v>8120000</c:v>
                </c:pt>
              </c:numCache>
            </c:numRef>
          </c:val>
        </c:ser>
        <c:ser>
          <c:idx val="1"/>
          <c:order val="1"/>
          <c:invertIfNegative val="0"/>
          <c:cat>
            <c:numRef>
              <c:f>'běžné výdaje 6171'!$B$1:$H$1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'běžné výdaje 6171'!$B$4:$H$4</c:f>
              <c:numCache>
                <c:formatCode>#,##0</c:formatCode>
                <c:ptCount val="7"/>
                <c:pt idx="0">
                  <c:v>70529637</c:v>
                </c:pt>
                <c:pt idx="1">
                  <c:v>64648677</c:v>
                </c:pt>
                <c:pt idx="2">
                  <c:v>66936029</c:v>
                </c:pt>
                <c:pt idx="3">
                  <c:v>64998738</c:v>
                </c:pt>
                <c:pt idx="4">
                  <c:v>68212396</c:v>
                </c:pt>
                <c:pt idx="5">
                  <c:v>61690401</c:v>
                </c:pt>
                <c:pt idx="6">
                  <c:v>71653000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3017472"/>
        <c:axId val="104743680"/>
      </c:barChart>
      <c:catAx>
        <c:axId val="103017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4743680"/>
        <c:crosses val="autoZero"/>
        <c:auto val="1"/>
        <c:lblAlgn val="ctr"/>
        <c:lblOffset val="100"/>
        <c:noMultiLvlLbl val="0"/>
      </c:catAx>
      <c:valAx>
        <c:axId val="10474368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03017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v>Investice</c:v>
          </c:tx>
          <c:marker>
            <c:symbol val="none"/>
          </c:marker>
          <c:cat>
            <c:numRef>
              <c:f>'příspěvek PO'!$B$1:$H$1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'příspěvek PO'!$B$5:$H$5</c:f>
              <c:numCache>
                <c:formatCode>#,##0.00</c:formatCode>
                <c:ptCount val="7"/>
                <c:pt idx="0">
                  <c:v>28170221</c:v>
                </c:pt>
                <c:pt idx="1">
                  <c:v>802800</c:v>
                </c:pt>
                <c:pt idx="2">
                  <c:v>5173487</c:v>
                </c:pt>
                <c:pt idx="3">
                  <c:v>5288418</c:v>
                </c:pt>
                <c:pt idx="4">
                  <c:v>139448916</c:v>
                </c:pt>
                <c:pt idx="5">
                  <c:v>15252594</c:v>
                </c:pt>
                <c:pt idx="6">
                  <c:v>6800000</c:v>
                </c:pt>
              </c:numCache>
            </c:numRef>
          </c:val>
          <c:smooth val="0"/>
        </c:ser>
        <c:ser>
          <c:idx val="2"/>
          <c:order val="1"/>
          <c:tx>
            <c:v>Neinvestiční příspěvek</c:v>
          </c:tx>
          <c:marker>
            <c:symbol val="none"/>
          </c:marker>
          <c:cat>
            <c:numRef>
              <c:f>'příspěvek PO'!$B$1:$H$1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'příspěvek PO'!$B$2:$H$2</c:f>
              <c:numCache>
                <c:formatCode>#,##0.00</c:formatCode>
                <c:ptCount val="7"/>
                <c:pt idx="0">
                  <c:v>8306800</c:v>
                </c:pt>
                <c:pt idx="1">
                  <c:v>11723300</c:v>
                </c:pt>
                <c:pt idx="2">
                  <c:v>11790300</c:v>
                </c:pt>
                <c:pt idx="3">
                  <c:v>10749100</c:v>
                </c:pt>
                <c:pt idx="4">
                  <c:v>11115500</c:v>
                </c:pt>
                <c:pt idx="5">
                  <c:v>13368700</c:v>
                </c:pt>
                <c:pt idx="6">
                  <c:v>13242600</c:v>
                </c:pt>
              </c:numCache>
            </c:numRef>
          </c:val>
          <c:smooth val="0"/>
        </c:ser>
        <c:ser>
          <c:idx val="3"/>
          <c:order val="2"/>
          <c:tx>
            <c:v>Ostatní</c:v>
          </c:tx>
          <c:marker>
            <c:symbol val="none"/>
          </c:marker>
          <c:cat>
            <c:numRef>
              <c:f>'příspěvek PO'!$B$1:$H$1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'příspěvek PO'!$B$6:$H$6</c:f>
              <c:numCache>
                <c:formatCode>#,##0.00</c:formatCode>
                <c:ptCount val="7"/>
                <c:pt idx="0">
                  <c:v>121220</c:v>
                </c:pt>
                <c:pt idx="1">
                  <c:v>1687185</c:v>
                </c:pt>
                <c:pt idx="2">
                  <c:v>2693580</c:v>
                </c:pt>
                <c:pt idx="3">
                  <c:v>1406326</c:v>
                </c:pt>
                <c:pt idx="4">
                  <c:v>4246368</c:v>
                </c:pt>
                <c:pt idx="5">
                  <c:v>1834350</c:v>
                </c:pt>
                <c:pt idx="6">
                  <c:v>103000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4761216"/>
        <c:axId val="104762752"/>
      </c:lineChart>
      <c:catAx>
        <c:axId val="104761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4762752"/>
        <c:crosses val="autoZero"/>
        <c:auto val="1"/>
        <c:lblAlgn val="ctr"/>
        <c:lblOffset val="100"/>
        <c:noMultiLvlLbl val="0"/>
      </c:catAx>
      <c:valAx>
        <c:axId val="104762752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047612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Ukazatel dluhové služby</c:v>
          </c:tx>
          <c:marker>
            <c:symbol val="none"/>
          </c:marker>
          <c:cat>
            <c:numRef>
              <c:f>List1!$I$4:$O$4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List1!$I$13:$O$13</c:f>
              <c:numCache>
                <c:formatCode>0.00%</c:formatCode>
                <c:ptCount val="7"/>
                <c:pt idx="0">
                  <c:v>4.2455479868210785E-2</c:v>
                </c:pt>
                <c:pt idx="1">
                  <c:v>5.5218049728648855E-2</c:v>
                </c:pt>
                <c:pt idx="2">
                  <c:v>5.5174291733008585E-2</c:v>
                </c:pt>
                <c:pt idx="3">
                  <c:v>1.9906162641714555E-2</c:v>
                </c:pt>
                <c:pt idx="4">
                  <c:v>1.1695968643693163E-3</c:v>
                </c:pt>
                <c:pt idx="5">
                  <c:v>5.9203951845699564E-2</c:v>
                </c:pt>
                <c:pt idx="6">
                  <c:v>6.0214228219724462E-2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4786944"/>
        <c:axId val="104788736"/>
      </c:lineChart>
      <c:catAx>
        <c:axId val="104786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4788736"/>
        <c:crosses val="autoZero"/>
        <c:auto val="1"/>
        <c:lblAlgn val="ctr"/>
        <c:lblOffset val="100"/>
        <c:noMultiLvlLbl val="0"/>
      </c:catAx>
      <c:valAx>
        <c:axId val="10478873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047869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E6BF6-1862-4475-9308-AEA5C859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16</Pages>
  <Words>3013</Words>
  <Characters>17780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SLAPANICE\HAVLICKOVA</dc:creator>
  <cp:lastModifiedBy>SLAPANICE\HAVLICKOVA</cp:lastModifiedBy>
  <cp:revision>79</cp:revision>
  <cp:lastPrinted>2016-11-02T17:44:00Z</cp:lastPrinted>
  <dcterms:created xsi:type="dcterms:W3CDTF">2016-11-01T14:37:00Z</dcterms:created>
  <dcterms:modified xsi:type="dcterms:W3CDTF">2016-12-07T10:08:00Z</dcterms:modified>
</cp:coreProperties>
</file>